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76" w:rsidRPr="001D21A0" w:rsidRDefault="005D0876" w:rsidP="009D6344">
      <w:pPr>
        <w:suppressAutoHyphens/>
        <w:spacing w:line="270" w:lineRule="exact"/>
        <w:rPr>
          <w:rFonts w:ascii="Arial" w:hAnsi="Arial" w:cs="Arial"/>
          <w:bCs/>
          <w:color w:val="000000"/>
          <w:sz w:val="20"/>
          <w:szCs w:val="20"/>
        </w:rPr>
      </w:pPr>
      <w:r w:rsidRPr="001D21A0">
        <w:rPr>
          <w:rFonts w:ascii="Arial" w:hAnsi="Arial"/>
          <w:color w:val="000000"/>
          <w:sz w:val="20"/>
        </w:rPr>
        <w:t xml:space="preserve">Paris, 26 January 2016 </w:t>
      </w:r>
    </w:p>
    <w:p w:rsidR="005D0876" w:rsidRPr="001D21A0" w:rsidRDefault="005D0876" w:rsidP="00CB3249">
      <w:pPr>
        <w:suppressAutoHyphens/>
        <w:spacing w:line="270" w:lineRule="exact"/>
        <w:rPr>
          <w:rFonts w:ascii="Arial" w:hAnsi="Arial" w:cs="Arial"/>
          <w:bCs/>
          <w:sz w:val="26"/>
          <w:szCs w:val="26"/>
        </w:rPr>
      </w:pPr>
    </w:p>
    <w:p w:rsidR="00E522CE" w:rsidRDefault="00E522CE" w:rsidP="00E522CE">
      <w:pPr>
        <w:suppressAutoHyphens/>
        <w:spacing w:line="270" w:lineRule="exact"/>
        <w:jc w:val="center"/>
        <w:rPr>
          <w:rFonts w:ascii="Arial" w:hAnsi="Arial" w:cs="Arial"/>
          <w:b/>
          <w:bCs/>
          <w:color w:val="000000"/>
          <w:sz w:val="26"/>
          <w:szCs w:val="26"/>
        </w:rPr>
      </w:pPr>
      <w:r>
        <w:rPr>
          <w:rFonts w:ascii="Arial" w:hAnsi="Arial" w:cs="Arial"/>
          <w:b/>
          <w:bCs/>
          <w:color w:val="000000"/>
          <w:sz w:val="26"/>
          <w:szCs w:val="26"/>
        </w:rPr>
        <w:t>2016</w:t>
      </w:r>
      <w:bookmarkStart w:id="0" w:name="_GoBack"/>
      <w:bookmarkEnd w:id="0"/>
      <w:r>
        <w:rPr>
          <w:rFonts w:ascii="Arial" w:hAnsi="Arial" w:cs="Arial"/>
          <w:b/>
          <w:bCs/>
          <w:color w:val="000000"/>
          <w:sz w:val="26"/>
          <w:szCs w:val="26"/>
        </w:rPr>
        <w:t> Country Risk Conference</w:t>
      </w:r>
    </w:p>
    <w:p w:rsidR="00E522CE" w:rsidRDefault="00E522CE" w:rsidP="00E522CE">
      <w:pPr>
        <w:suppressAutoHyphens/>
        <w:spacing w:line="270" w:lineRule="exact"/>
        <w:jc w:val="center"/>
        <w:rPr>
          <w:rFonts w:ascii="Arial" w:hAnsi="Arial" w:cs="Arial"/>
          <w:b/>
          <w:bCs/>
          <w:color w:val="000000"/>
          <w:sz w:val="26"/>
          <w:szCs w:val="26"/>
        </w:rPr>
      </w:pPr>
    </w:p>
    <w:p w:rsidR="00A864C2" w:rsidRPr="00E522CE" w:rsidRDefault="00E522CE" w:rsidP="009745C4">
      <w:pPr>
        <w:suppressAutoHyphens/>
        <w:spacing w:line="270" w:lineRule="exact"/>
        <w:jc w:val="both"/>
        <w:rPr>
          <w:rFonts w:ascii="Arial" w:hAnsi="Arial"/>
          <w:b/>
          <w:sz w:val="26"/>
        </w:rPr>
      </w:pPr>
      <w:r w:rsidRPr="001D21A0">
        <w:rPr>
          <w:rFonts w:ascii="Arial" w:hAnsi="Arial"/>
          <w:b/>
          <w:sz w:val="26"/>
        </w:rPr>
        <w:t>Three r</w:t>
      </w:r>
      <w:r w:rsidR="005D1535" w:rsidRPr="001D21A0">
        <w:rPr>
          <w:rFonts w:ascii="Arial" w:hAnsi="Arial"/>
          <w:b/>
          <w:sz w:val="26"/>
        </w:rPr>
        <w:t xml:space="preserve">isks </w:t>
      </w:r>
      <w:proofErr w:type="gramStart"/>
      <w:r w:rsidR="005D1535" w:rsidRPr="001D21A0">
        <w:rPr>
          <w:rFonts w:ascii="Arial" w:hAnsi="Arial"/>
          <w:b/>
          <w:sz w:val="26"/>
        </w:rPr>
        <w:t xml:space="preserve">to </w:t>
      </w:r>
      <w:r w:rsidR="00FB4CB3">
        <w:rPr>
          <w:rFonts w:ascii="Arial" w:hAnsi="Arial"/>
          <w:b/>
          <w:sz w:val="26"/>
        </w:rPr>
        <w:t>monitor</w:t>
      </w:r>
      <w:proofErr w:type="gramEnd"/>
      <w:r w:rsidR="005D1535" w:rsidRPr="00736656">
        <w:rPr>
          <w:rFonts w:ascii="Arial" w:hAnsi="Arial"/>
          <w:b/>
          <w:sz w:val="26"/>
        </w:rPr>
        <w:t xml:space="preserve"> in 2016</w:t>
      </w:r>
      <w:r w:rsidR="00A864C2" w:rsidRPr="00736656">
        <w:rPr>
          <w:rFonts w:ascii="Arial" w:hAnsi="Arial"/>
          <w:b/>
          <w:sz w:val="26"/>
        </w:rPr>
        <w:t xml:space="preserve">: weak growth, political tensions and </w:t>
      </w:r>
      <w:r w:rsidR="00BC7265">
        <w:rPr>
          <w:rFonts w:ascii="Arial" w:hAnsi="Arial"/>
          <w:b/>
          <w:sz w:val="26"/>
        </w:rPr>
        <w:t xml:space="preserve">company </w:t>
      </w:r>
      <w:r w:rsidR="00A864C2" w:rsidRPr="00736656">
        <w:rPr>
          <w:rFonts w:ascii="Arial" w:hAnsi="Arial"/>
          <w:b/>
          <w:sz w:val="26"/>
        </w:rPr>
        <w:t>debts in emerging economies</w:t>
      </w:r>
    </w:p>
    <w:p w:rsidR="00C22A74" w:rsidRPr="00736656" w:rsidRDefault="00C22A74" w:rsidP="009745C4">
      <w:pPr>
        <w:suppressAutoHyphens/>
        <w:spacing w:line="270" w:lineRule="exact"/>
        <w:jc w:val="both"/>
        <w:rPr>
          <w:rFonts w:ascii="Arial" w:hAnsi="Arial" w:cs="Arial"/>
          <w:bCs/>
          <w:sz w:val="20"/>
          <w:szCs w:val="26"/>
        </w:rPr>
      </w:pPr>
    </w:p>
    <w:p w:rsidR="002E7F21" w:rsidRPr="00736656" w:rsidRDefault="00A864C2" w:rsidP="002E7F21">
      <w:pPr>
        <w:pStyle w:val="Paragraphedeliste"/>
        <w:numPr>
          <w:ilvl w:val="0"/>
          <w:numId w:val="24"/>
        </w:numPr>
        <w:suppressAutoHyphens/>
        <w:spacing w:line="270" w:lineRule="exact"/>
        <w:jc w:val="both"/>
        <w:rPr>
          <w:rFonts w:ascii="Arial" w:hAnsi="Arial" w:cs="Arial"/>
          <w:b/>
          <w:bCs/>
          <w:sz w:val="22"/>
          <w:szCs w:val="22"/>
        </w:rPr>
      </w:pPr>
      <w:r w:rsidRPr="00736656">
        <w:rPr>
          <w:rFonts w:ascii="Arial" w:hAnsi="Arial"/>
          <w:b/>
          <w:sz w:val="22"/>
        </w:rPr>
        <w:t xml:space="preserve">Advanced economies: many </w:t>
      </w:r>
      <w:r w:rsidR="00916D03">
        <w:rPr>
          <w:rFonts w:ascii="Arial" w:hAnsi="Arial"/>
          <w:b/>
          <w:sz w:val="22"/>
        </w:rPr>
        <w:t>causes for</w:t>
      </w:r>
      <w:r w:rsidRPr="00736656">
        <w:rPr>
          <w:rFonts w:ascii="Arial" w:hAnsi="Arial"/>
          <w:b/>
          <w:sz w:val="22"/>
        </w:rPr>
        <w:t xml:space="preserve"> concern, including financial market volatility, cheap oil and </w:t>
      </w:r>
      <w:r w:rsidR="008103BE">
        <w:rPr>
          <w:rFonts w:ascii="Arial" w:hAnsi="Arial"/>
          <w:b/>
          <w:sz w:val="22"/>
        </w:rPr>
        <w:t xml:space="preserve">the </w:t>
      </w:r>
      <w:r w:rsidRPr="00736656">
        <w:rPr>
          <w:rFonts w:ascii="Arial" w:hAnsi="Arial"/>
          <w:b/>
          <w:sz w:val="22"/>
        </w:rPr>
        <w:t>Chinese slowdown</w:t>
      </w:r>
    </w:p>
    <w:p w:rsidR="00535927" w:rsidRPr="00736656" w:rsidRDefault="00535927" w:rsidP="00535927">
      <w:pPr>
        <w:pStyle w:val="Paragraphedeliste"/>
        <w:numPr>
          <w:ilvl w:val="0"/>
          <w:numId w:val="24"/>
        </w:numPr>
        <w:suppressAutoHyphens/>
        <w:spacing w:line="270" w:lineRule="exact"/>
        <w:jc w:val="both"/>
        <w:rPr>
          <w:rFonts w:ascii="Arial" w:hAnsi="Arial" w:cs="Arial"/>
          <w:b/>
          <w:bCs/>
          <w:sz w:val="22"/>
          <w:szCs w:val="22"/>
        </w:rPr>
      </w:pPr>
      <w:r w:rsidRPr="00736656">
        <w:rPr>
          <w:rFonts w:ascii="Arial" w:hAnsi="Arial"/>
          <w:b/>
          <w:sz w:val="22"/>
        </w:rPr>
        <w:t xml:space="preserve">Emerging countries: in addition to sluggish growth, </w:t>
      </w:r>
      <w:r w:rsidR="00EA26EF">
        <w:rPr>
          <w:rFonts w:ascii="Arial" w:hAnsi="Arial"/>
          <w:b/>
          <w:sz w:val="22"/>
        </w:rPr>
        <w:t xml:space="preserve">increasing </w:t>
      </w:r>
      <w:r w:rsidRPr="00736656">
        <w:rPr>
          <w:rFonts w:ascii="Arial" w:hAnsi="Arial"/>
          <w:b/>
          <w:sz w:val="22"/>
        </w:rPr>
        <w:t>indebtedness of companies</w:t>
      </w:r>
    </w:p>
    <w:p w:rsidR="002E7F21" w:rsidRPr="00736656" w:rsidRDefault="00535927" w:rsidP="00535927">
      <w:pPr>
        <w:pStyle w:val="Paragraphedeliste"/>
        <w:numPr>
          <w:ilvl w:val="0"/>
          <w:numId w:val="24"/>
        </w:numPr>
        <w:suppressAutoHyphens/>
        <w:spacing w:line="270" w:lineRule="exact"/>
        <w:jc w:val="both"/>
        <w:rPr>
          <w:rFonts w:ascii="Arial" w:hAnsi="Arial" w:cs="Arial"/>
          <w:b/>
          <w:bCs/>
          <w:sz w:val="22"/>
          <w:szCs w:val="22"/>
        </w:rPr>
      </w:pPr>
      <w:r w:rsidRPr="00736656">
        <w:rPr>
          <w:rFonts w:ascii="Arial" w:hAnsi="Arial"/>
          <w:b/>
          <w:sz w:val="22"/>
        </w:rPr>
        <w:t>Increased political risk</w:t>
      </w:r>
      <w:r w:rsidR="00CA4E9A">
        <w:rPr>
          <w:rFonts w:ascii="Arial" w:hAnsi="Arial"/>
          <w:b/>
          <w:sz w:val="22"/>
        </w:rPr>
        <w:t>s</w:t>
      </w:r>
      <w:r w:rsidRPr="00736656">
        <w:rPr>
          <w:rFonts w:ascii="Arial" w:hAnsi="Arial"/>
          <w:b/>
          <w:sz w:val="22"/>
        </w:rPr>
        <w:t xml:space="preserve"> likely to affect business confidence in all regions</w:t>
      </w:r>
    </w:p>
    <w:p w:rsidR="00C149A2" w:rsidRPr="00736656" w:rsidRDefault="00C149A2" w:rsidP="0001193F">
      <w:pPr>
        <w:suppressAutoHyphens/>
        <w:spacing w:line="270" w:lineRule="exact"/>
        <w:jc w:val="both"/>
        <w:rPr>
          <w:rFonts w:ascii="Arial" w:hAnsi="Arial" w:cs="Arial"/>
          <w:b/>
          <w:bCs/>
          <w:sz w:val="20"/>
          <w:szCs w:val="26"/>
        </w:rPr>
      </w:pPr>
    </w:p>
    <w:p w:rsidR="00535927" w:rsidRPr="00736656" w:rsidRDefault="00535927" w:rsidP="00535927">
      <w:pPr>
        <w:suppressAutoHyphens/>
        <w:spacing w:line="270" w:lineRule="exact"/>
        <w:jc w:val="both"/>
        <w:rPr>
          <w:rFonts w:ascii="Arial" w:hAnsi="Arial" w:cs="Arial"/>
          <w:b/>
          <w:bCs/>
          <w:sz w:val="20"/>
          <w:szCs w:val="20"/>
        </w:rPr>
      </w:pPr>
      <w:r w:rsidRPr="00736656">
        <w:rPr>
          <w:rFonts w:ascii="Arial" w:hAnsi="Arial"/>
          <w:b/>
          <w:sz w:val="20"/>
        </w:rPr>
        <w:t>A new year of political uncertainties</w:t>
      </w:r>
    </w:p>
    <w:p w:rsidR="002E7F21" w:rsidRPr="00736656" w:rsidRDefault="002E7F21" w:rsidP="0001193F">
      <w:pPr>
        <w:suppressAutoHyphens/>
        <w:spacing w:line="270" w:lineRule="exact"/>
        <w:jc w:val="both"/>
        <w:rPr>
          <w:rFonts w:ascii="Arial" w:hAnsi="Arial" w:cs="Arial"/>
          <w:b/>
          <w:bCs/>
          <w:sz w:val="20"/>
          <w:szCs w:val="26"/>
        </w:rPr>
      </w:pPr>
    </w:p>
    <w:p w:rsidR="00994DD6" w:rsidRPr="00736656" w:rsidRDefault="004F6991" w:rsidP="00994DD6">
      <w:pPr>
        <w:pStyle w:val="Textedesaisie"/>
        <w:spacing w:line="270" w:lineRule="exact"/>
        <w:rPr>
          <w:rFonts w:cs="Arial"/>
          <w:bCs/>
        </w:rPr>
      </w:pPr>
      <w:r w:rsidRPr="00736656">
        <w:t xml:space="preserve">A cautious approach to evolving country risks </w:t>
      </w:r>
      <w:r w:rsidR="008103BE">
        <w:t>will be</w:t>
      </w:r>
      <w:r w:rsidRPr="00736656">
        <w:t xml:space="preserve"> necessary in 2016. In an environment of soft global growth, </w:t>
      </w:r>
      <w:r w:rsidR="008103BE">
        <w:t xml:space="preserve">forecast by </w:t>
      </w:r>
      <w:proofErr w:type="spellStart"/>
      <w:r w:rsidR="008103BE">
        <w:t>Coface</w:t>
      </w:r>
      <w:proofErr w:type="spellEnd"/>
      <w:r w:rsidR="008103BE">
        <w:t xml:space="preserve"> </w:t>
      </w:r>
      <w:r w:rsidRPr="00736656">
        <w:t>to be 2.7% (after 2.5% in 2015), the risks that emerged in 2015 are expected to remain this year. At the forefront are the political tensions gaining ground in both advanced and emerging countries.</w:t>
      </w:r>
    </w:p>
    <w:p w:rsidR="00994DD6" w:rsidRPr="00736656" w:rsidRDefault="00994DD6" w:rsidP="00994DD6">
      <w:pPr>
        <w:pStyle w:val="Textedesaisie"/>
        <w:spacing w:line="270" w:lineRule="exact"/>
        <w:rPr>
          <w:rFonts w:cs="Arial"/>
          <w:bCs/>
        </w:rPr>
      </w:pPr>
    </w:p>
    <w:p w:rsidR="00D22425" w:rsidRPr="00736656" w:rsidRDefault="00D22425" w:rsidP="00803CC4">
      <w:pPr>
        <w:pStyle w:val="Textedesaisie"/>
        <w:spacing w:line="270" w:lineRule="exact"/>
      </w:pPr>
      <w:proofErr w:type="gramStart"/>
      <w:r w:rsidRPr="00736656">
        <w:t>The elections in the United States and</w:t>
      </w:r>
      <w:r w:rsidR="00BC7265">
        <w:t>, above all,</w:t>
      </w:r>
      <w:r w:rsidRPr="00736656">
        <w:t xml:space="preserve"> the risk of </w:t>
      </w:r>
      <w:r w:rsidR="008103BE">
        <w:t xml:space="preserve">a </w:t>
      </w:r>
      <w:r w:rsidRPr="00736656">
        <w:t>“</w:t>
      </w:r>
      <w:proofErr w:type="spellStart"/>
      <w:r w:rsidRPr="00736656">
        <w:t>Brexit</w:t>
      </w:r>
      <w:proofErr w:type="spellEnd"/>
      <w:r w:rsidRPr="00736656">
        <w:t xml:space="preserve">” </w:t>
      </w:r>
      <w:r w:rsidR="00BC7265">
        <w:t>by</w:t>
      </w:r>
      <w:r w:rsidRPr="00736656">
        <w:t xml:space="preserve"> the United Kingdom </w:t>
      </w:r>
      <w:r w:rsidR="00BC7265">
        <w:t>(</w:t>
      </w:r>
      <w:r w:rsidRPr="00736656">
        <w:t>two advanced countries that outperformed the eurozone in 2015</w:t>
      </w:r>
      <w:r w:rsidR="00BC7265">
        <w:t>)</w:t>
      </w:r>
      <w:r w:rsidRPr="00736656">
        <w:t>, are likely to weigh on business confidence.</w:t>
      </w:r>
      <w:proofErr w:type="gramEnd"/>
      <w:r w:rsidRPr="00736656">
        <w:t xml:space="preserve"> In the emerging world, uncertainties remain high in the Middle East. The risk of terrorism could lead to stronger nationalist movements. According to </w:t>
      </w:r>
      <w:proofErr w:type="spellStart"/>
      <w:r w:rsidRPr="00736656">
        <w:t>Coface’s</w:t>
      </w:r>
      <w:proofErr w:type="spellEnd"/>
      <w:r w:rsidRPr="00736656">
        <w:t xml:space="preserve"> political risk index</w:t>
      </w:r>
      <w:r w:rsidRPr="00736656">
        <w:rPr>
          <w:rStyle w:val="Appelnotedebasdep"/>
        </w:rPr>
        <w:footnoteReference w:id="1"/>
      </w:r>
      <w:r w:rsidRPr="00736656">
        <w:t xml:space="preserve">, Turkey and Brazil </w:t>
      </w:r>
      <w:r w:rsidR="00BC7265">
        <w:t xml:space="preserve">particularly </w:t>
      </w:r>
      <w:r w:rsidRPr="00736656">
        <w:t>stand out</w:t>
      </w:r>
      <w:r w:rsidR="00FB0227">
        <w:t>, due to</w:t>
      </w:r>
      <w:r w:rsidRPr="00736656">
        <w:t xml:space="preserve"> their </w:t>
      </w:r>
      <w:r w:rsidR="00FB0227">
        <w:t>growing</w:t>
      </w:r>
      <w:r w:rsidRPr="00736656">
        <w:t xml:space="preserve"> political instability between 2007 and 2015, following </w:t>
      </w:r>
      <w:r w:rsidR="00FB0227">
        <w:t>the</w:t>
      </w:r>
      <w:r w:rsidRPr="00736656">
        <w:t xml:space="preserve"> significant deterioration of their economic situation</w:t>
      </w:r>
      <w:r w:rsidR="00FB0227">
        <w:t>s</w:t>
      </w:r>
      <w:r w:rsidRPr="00736656">
        <w:t xml:space="preserve">. </w:t>
      </w:r>
      <w:r w:rsidRPr="00736656">
        <w:rPr>
          <w:b/>
        </w:rPr>
        <w:t>Brazil</w:t>
      </w:r>
      <w:r w:rsidRPr="00736656">
        <w:t xml:space="preserve">, whose political crisis and recession </w:t>
      </w:r>
      <w:r w:rsidR="00F8393A">
        <w:t>are</w:t>
      </w:r>
      <w:r w:rsidRPr="00736656">
        <w:t xml:space="preserve"> expected to continue in 2016, thus saw its country risk rating downgraded for the second time in less than a year</w:t>
      </w:r>
      <w:r w:rsidR="00FB0227">
        <w:t>,</w:t>
      </w:r>
      <w:r w:rsidRPr="00736656">
        <w:t xml:space="preserve"> to </w:t>
      </w:r>
      <w:r w:rsidRPr="00736656">
        <w:rPr>
          <w:b/>
        </w:rPr>
        <w:t>C</w:t>
      </w:r>
      <w:r w:rsidRPr="00736656">
        <w:t>.</w:t>
      </w:r>
    </w:p>
    <w:p w:rsidR="00D36602" w:rsidRPr="00736656" w:rsidRDefault="00D36602" w:rsidP="00B1644B">
      <w:pPr>
        <w:autoSpaceDE w:val="0"/>
        <w:autoSpaceDN w:val="0"/>
        <w:adjustRightInd w:val="0"/>
        <w:spacing w:line="270" w:lineRule="exact"/>
        <w:jc w:val="both"/>
        <w:rPr>
          <w:rFonts w:ascii="Arial" w:hAnsi="Arial" w:cs="Arial"/>
          <w:bCs/>
          <w:sz w:val="20"/>
          <w:szCs w:val="20"/>
        </w:rPr>
      </w:pPr>
    </w:p>
    <w:p w:rsidR="0001193F" w:rsidRPr="00736656" w:rsidRDefault="002E7F21" w:rsidP="00B1644B">
      <w:pPr>
        <w:autoSpaceDE w:val="0"/>
        <w:autoSpaceDN w:val="0"/>
        <w:adjustRightInd w:val="0"/>
        <w:spacing w:line="270" w:lineRule="exact"/>
        <w:jc w:val="both"/>
        <w:rPr>
          <w:rFonts w:ascii="Arial" w:hAnsi="Arial" w:cs="Arial"/>
          <w:b/>
          <w:bCs/>
          <w:sz w:val="20"/>
          <w:szCs w:val="20"/>
        </w:rPr>
      </w:pPr>
      <w:r w:rsidRPr="00736656">
        <w:rPr>
          <w:rFonts w:ascii="Arial" w:hAnsi="Arial"/>
          <w:b/>
          <w:sz w:val="20"/>
        </w:rPr>
        <w:t>Advanced countries: recovery under pressure</w:t>
      </w:r>
    </w:p>
    <w:p w:rsidR="00803CC4" w:rsidRPr="00736656" w:rsidRDefault="00803CC4" w:rsidP="00803CC4">
      <w:pPr>
        <w:autoSpaceDE w:val="0"/>
        <w:autoSpaceDN w:val="0"/>
        <w:adjustRightInd w:val="0"/>
        <w:spacing w:line="270" w:lineRule="exact"/>
        <w:jc w:val="both"/>
        <w:rPr>
          <w:rFonts w:ascii="Arial" w:hAnsi="Arial" w:cs="Arial"/>
          <w:bCs/>
          <w:sz w:val="20"/>
          <w:szCs w:val="20"/>
        </w:rPr>
      </w:pPr>
    </w:p>
    <w:p w:rsidR="00803CC4" w:rsidRPr="00736656" w:rsidRDefault="000F5054" w:rsidP="00DE6DDE">
      <w:pPr>
        <w:autoSpaceDE w:val="0"/>
        <w:autoSpaceDN w:val="0"/>
        <w:adjustRightInd w:val="0"/>
        <w:spacing w:line="270" w:lineRule="exact"/>
        <w:jc w:val="both"/>
        <w:rPr>
          <w:rFonts w:ascii="Arial" w:hAnsi="Arial" w:cs="Arial"/>
          <w:bCs/>
          <w:sz w:val="20"/>
          <w:szCs w:val="20"/>
        </w:rPr>
      </w:pPr>
      <w:r w:rsidRPr="00736656">
        <w:rPr>
          <w:rFonts w:ascii="Arial" w:hAnsi="Arial"/>
          <w:sz w:val="20"/>
        </w:rPr>
        <w:t xml:space="preserve">Overall, advanced countries will see moderate growth in 2016, estimated at 2% by </w:t>
      </w:r>
      <w:proofErr w:type="spellStart"/>
      <w:r w:rsidR="00DD381F" w:rsidRPr="00736656">
        <w:rPr>
          <w:rFonts w:ascii="Arial" w:hAnsi="Arial"/>
          <w:sz w:val="20"/>
        </w:rPr>
        <w:t>C</w:t>
      </w:r>
      <w:r w:rsidR="00DD381F">
        <w:rPr>
          <w:rFonts w:ascii="Arial" w:hAnsi="Arial"/>
          <w:sz w:val="20"/>
        </w:rPr>
        <w:t>oface</w:t>
      </w:r>
      <w:proofErr w:type="spellEnd"/>
      <w:r w:rsidRPr="00736656">
        <w:rPr>
          <w:rFonts w:ascii="Arial" w:hAnsi="Arial"/>
          <w:sz w:val="20"/>
        </w:rPr>
        <w:t>. The main concerns include their dependency on commodity prices, the Chinese slowdown</w:t>
      </w:r>
      <w:r w:rsidR="00FB0227">
        <w:rPr>
          <w:rFonts w:ascii="Arial" w:hAnsi="Arial"/>
          <w:sz w:val="20"/>
        </w:rPr>
        <w:t xml:space="preserve"> and</w:t>
      </w:r>
      <w:r w:rsidRPr="00736656">
        <w:rPr>
          <w:rFonts w:ascii="Arial" w:hAnsi="Arial"/>
          <w:sz w:val="20"/>
        </w:rPr>
        <w:t xml:space="preserve"> financial market volatility. </w:t>
      </w:r>
    </w:p>
    <w:p w:rsidR="00E676ED" w:rsidRPr="00736656" w:rsidRDefault="00E676ED" w:rsidP="00B1644B">
      <w:pPr>
        <w:autoSpaceDE w:val="0"/>
        <w:autoSpaceDN w:val="0"/>
        <w:adjustRightInd w:val="0"/>
        <w:spacing w:line="270" w:lineRule="exact"/>
        <w:jc w:val="both"/>
        <w:rPr>
          <w:rFonts w:ascii="Arial" w:hAnsi="Arial" w:cs="Arial"/>
          <w:b/>
          <w:bCs/>
          <w:sz w:val="20"/>
          <w:szCs w:val="20"/>
        </w:rPr>
      </w:pPr>
    </w:p>
    <w:p w:rsidR="00C22A74" w:rsidRPr="00736656" w:rsidRDefault="0001193F" w:rsidP="00B1644B">
      <w:pPr>
        <w:autoSpaceDE w:val="0"/>
        <w:autoSpaceDN w:val="0"/>
        <w:adjustRightInd w:val="0"/>
        <w:spacing w:line="270" w:lineRule="exact"/>
        <w:jc w:val="both"/>
        <w:rPr>
          <w:rFonts w:ascii="Arial" w:hAnsi="Arial" w:cs="Arial"/>
          <w:bCs/>
          <w:sz w:val="20"/>
          <w:szCs w:val="20"/>
        </w:rPr>
      </w:pPr>
      <w:r w:rsidRPr="00736656">
        <w:rPr>
          <w:rFonts w:ascii="Arial" w:hAnsi="Arial"/>
          <w:sz w:val="20"/>
        </w:rPr>
        <w:t xml:space="preserve">The trend of low barrel prices should continue in 2016, </w:t>
      </w:r>
      <w:r w:rsidR="00FB0227">
        <w:rPr>
          <w:rFonts w:ascii="Arial" w:hAnsi="Arial"/>
          <w:sz w:val="20"/>
        </w:rPr>
        <w:t>due to</w:t>
      </w:r>
      <w:r w:rsidRPr="00736656">
        <w:rPr>
          <w:rFonts w:ascii="Arial" w:hAnsi="Arial"/>
          <w:sz w:val="20"/>
        </w:rPr>
        <w:t xml:space="preserve"> the continued surplus </w:t>
      </w:r>
      <w:r w:rsidR="008103BE">
        <w:rPr>
          <w:rFonts w:ascii="Arial" w:hAnsi="Arial"/>
          <w:sz w:val="20"/>
        </w:rPr>
        <w:t xml:space="preserve">of </w:t>
      </w:r>
      <w:r w:rsidRPr="00736656">
        <w:rPr>
          <w:rFonts w:ascii="Arial" w:hAnsi="Arial"/>
          <w:sz w:val="20"/>
        </w:rPr>
        <w:t xml:space="preserve">oil supply </w:t>
      </w:r>
      <w:r w:rsidR="009849FA">
        <w:rPr>
          <w:rFonts w:ascii="Arial" w:hAnsi="Arial"/>
          <w:sz w:val="20"/>
        </w:rPr>
        <w:t xml:space="preserve">- </w:t>
      </w:r>
      <w:r w:rsidRPr="00736656">
        <w:rPr>
          <w:rFonts w:ascii="Arial" w:hAnsi="Arial"/>
          <w:sz w:val="20"/>
        </w:rPr>
        <w:t xml:space="preserve">in part </w:t>
      </w:r>
      <w:r w:rsidR="009849FA">
        <w:rPr>
          <w:rFonts w:ascii="Arial" w:hAnsi="Arial"/>
          <w:sz w:val="20"/>
        </w:rPr>
        <w:t>attributable</w:t>
      </w:r>
      <w:r w:rsidRPr="00736656">
        <w:rPr>
          <w:rFonts w:ascii="Arial" w:hAnsi="Arial"/>
          <w:sz w:val="20"/>
        </w:rPr>
        <w:t xml:space="preserve"> to Iran’s return to the market. Heavily affected by the drop in oil sector investment</w:t>
      </w:r>
      <w:r w:rsidR="00422471">
        <w:rPr>
          <w:rFonts w:ascii="Arial" w:hAnsi="Arial"/>
          <w:sz w:val="20"/>
        </w:rPr>
        <w:t>,</w:t>
      </w:r>
      <w:r w:rsidR="009849FA">
        <w:rPr>
          <w:rFonts w:ascii="Arial" w:hAnsi="Arial"/>
          <w:sz w:val="20"/>
        </w:rPr>
        <w:t xml:space="preserve"> resulting from </w:t>
      </w:r>
      <w:r w:rsidRPr="00736656">
        <w:rPr>
          <w:rFonts w:ascii="Arial" w:hAnsi="Arial"/>
          <w:sz w:val="20"/>
        </w:rPr>
        <w:t xml:space="preserve">the decline in </w:t>
      </w:r>
      <w:r w:rsidR="009849FA">
        <w:rPr>
          <w:rFonts w:ascii="Arial" w:hAnsi="Arial"/>
          <w:sz w:val="20"/>
        </w:rPr>
        <w:t>its</w:t>
      </w:r>
      <w:r w:rsidRPr="00736656">
        <w:rPr>
          <w:rFonts w:ascii="Arial" w:hAnsi="Arial"/>
          <w:sz w:val="20"/>
        </w:rPr>
        <w:t xml:space="preserve"> income, </w:t>
      </w:r>
      <w:r w:rsidRPr="00736656">
        <w:rPr>
          <w:rFonts w:ascii="Arial" w:hAnsi="Arial"/>
          <w:b/>
          <w:sz w:val="20"/>
        </w:rPr>
        <w:t>Canada</w:t>
      </w:r>
      <w:r w:rsidRPr="00736656">
        <w:rPr>
          <w:rFonts w:ascii="Arial" w:hAnsi="Arial"/>
          <w:sz w:val="20"/>
        </w:rPr>
        <w:t xml:space="preserve"> has fallen </w:t>
      </w:r>
      <w:r w:rsidR="009849FA">
        <w:rPr>
          <w:rFonts w:ascii="Arial" w:hAnsi="Arial"/>
          <w:sz w:val="20"/>
        </w:rPr>
        <w:t>from</w:t>
      </w:r>
      <w:r w:rsidRPr="00736656">
        <w:rPr>
          <w:rFonts w:ascii="Arial" w:hAnsi="Arial"/>
          <w:sz w:val="20"/>
        </w:rPr>
        <w:t xml:space="preserve"> the best risk category and is now </w:t>
      </w:r>
      <w:r w:rsidR="00DD381F">
        <w:rPr>
          <w:rFonts w:ascii="Arial" w:hAnsi="Arial"/>
          <w:sz w:val="20"/>
        </w:rPr>
        <w:t>assessed</w:t>
      </w:r>
      <w:r w:rsidR="00DD381F" w:rsidRPr="00736656">
        <w:rPr>
          <w:rFonts w:ascii="Arial" w:hAnsi="Arial"/>
          <w:sz w:val="20"/>
        </w:rPr>
        <w:t xml:space="preserve"> </w:t>
      </w:r>
      <w:r w:rsidRPr="00736656">
        <w:rPr>
          <w:rFonts w:ascii="Arial" w:hAnsi="Arial"/>
          <w:b/>
          <w:sz w:val="20"/>
        </w:rPr>
        <w:t>A2</w:t>
      </w:r>
      <w:r w:rsidRPr="00736656">
        <w:rPr>
          <w:rFonts w:ascii="Arial" w:hAnsi="Arial"/>
          <w:sz w:val="20"/>
        </w:rPr>
        <w:t xml:space="preserve">. </w:t>
      </w:r>
      <w:r w:rsidR="009849FA">
        <w:rPr>
          <w:rFonts w:ascii="Arial" w:hAnsi="Arial"/>
          <w:sz w:val="20"/>
        </w:rPr>
        <w:t>T</w:t>
      </w:r>
      <w:r w:rsidRPr="00736656">
        <w:rPr>
          <w:rFonts w:ascii="Arial" w:hAnsi="Arial"/>
          <w:sz w:val="20"/>
        </w:rPr>
        <w:t>he continued decline in oil prices has</w:t>
      </w:r>
      <w:r w:rsidR="009849FA">
        <w:rPr>
          <w:rFonts w:ascii="Arial" w:hAnsi="Arial"/>
          <w:sz w:val="20"/>
        </w:rPr>
        <w:t>, however,</w:t>
      </w:r>
      <w:r w:rsidRPr="00736656">
        <w:rPr>
          <w:rFonts w:ascii="Arial" w:hAnsi="Arial"/>
          <w:sz w:val="20"/>
        </w:rPr>
        <w:t xml:space="preserve"> had a beneficial effect on households and businesses in certain advanced countries. With the </w:t>
      </w:r>
      <w:r w:rsidRPr="00736656">
        <w:rPr>
          <w:rFonts w:ascii="Arial" w:hAnsi="Arial"/>
          <w:sz w:val="20"/>
        </w:rPr>
        <w:lastRenderedPageBreak/>
        <w:t xml:space="preserve">exception of Japan and Italy, the </w:t>
      </w:r>
      <w:r w:rsidR="00AE0D55">
        <w:rPr>
          <w:rFonts w:ascii="Arial" w:hAnsi="Arial"/>
          <w:sz w:val="20"/>
        </w:rPr>
        <w:t>fall in</w:t>
      </w:r>
      <w:r w:rsidRPr="00736656">
        <w:rPr>
          <w:rFonts w:ascii="Arial" w:hAnsi="Arial"/>
          <w:sz w:val="20"/>
        </w:rPr>
        <w:t xml:space="preserve"> energy bill</w:t>
      </w:r>
      <w:r w:rsidR="00AE0D55">
        <w:rPr>
          <w:rFonts w:ascii="Arial" w:hAnsi="Arial"/>
          <w:sz w:val="20"/>
        </w:rPr>
        <w:t>s</w:t>
      </w:r>
      <w:r w:rsidRPr="00736656">
        <w:rPr>
          <w:rFonts w:ascii="Arial" w:hAnsi="Arial"/>
          <w:sz w:val="20"/>
        </w:rPr>
        <w:t xml:space="preserve"> has helped to revive corporate investment, particularly in Spain and the United Kingdom. </w:t>
      </w:r>
    </w:p>
    <w:p w:rsidR="00596662" w:rsidRPr="00736656" w:rsidRDefault="00596662" w:rsidP="00B1644B">
      <w:pPr>
        <w:autoSpaceDE w:val="0"/>
        <w:autoSpaceDN w:val="0"/>
        <w:adjustRightInd w:val="0"/>
        <w:spacing w:line="270" w:lineRule="exact"/>
        <w:jc w:val="both"/>
        <w:rPr>
          <w:rFonts w:ascii="Arial" w:hAnsi="Arial" w:cs="Arial"/>
          <w:bCs/>
          <w:sz w:val="20"/>
          <w:szCs w:val="20"/>
        </w:rPr>
      </w:pPr>
    </w:p>
    <w:p w:rsidR="004C60EC" w:rsidRPr="00736656" w:rsidRDefault="004C60EC" w:rsidP="00B1644B">
      <w:pPr>
        <w:suppressAutoHyphens/>
        <w:spacing w:line="270" w:lineRule="exact"/>
        <w:jc w:val="both"/>
        <w:rPr>
          <w:rFonts w:ascii="Arial" w:hAnsi="Arial" w:cs="Arial"/>
          <w:bCs/>
          <w:sz w:val="20"/>
          <w:szCs w:val="20"/>
        </w:rPr>
      </w:pPr>
      <w:r w:rsidRPr="00736656">
        <w:rPr>
          <w:rFonts w:ascii="Arial" w:hAnsi="Arial"/>
          <w:b/>
          <w:sz w:val="20"/>
        </w:rPr>
        <w:t>Japan</w:t>
      </w:r>
      <w:r w:rsidRPr="00736656">
        <w:rPr>
          <w:rFonts w:ascii="Arial" w:hAnsi="Arial"/>
          <w:sz w:val="20"/>
        </w:rPr>
        <w:t xml:space="preserve"> is also among the potential victims of </w:t>
      </w:r>
      <w:r w:rsidR="00AE0D55">
        <w:rPr>
          <w:rFonts w:ascii="Arial" w:hAnsi="Arial"/>
          <w:sz w:val="20"/>
        </w:rPr>
        <w:t xml:space="preserve">the </w:t>
      </w:r>
      <w:r w:rsidRPr="00736656">
        <w:rPr>
          <w:rFonts w:ascii="Arial" w:hAnsi="Arial"/>
          <w:sz w:val="20"/>
        </w:rPr>
        <w:t>more</w:t>
      </w:r>
      <w:r w:rsidR="008103BE">
        <w:rPr>
          <w:rFonts w:ascii="Arial" w:hAnsi="Arial"/>
          <w:sz w:val="20"/>
        </w:rPr>
        <w:t>-</w:t>
      </w:r>
      <w:r w:rsidRPr="00736656">
        <w:rPr>
          <w:rFonts w:ascii="Arial" w:hAnsi="Arial"/>
          <w:sz w:val="20"/>
        </w:rPr>
        <w:t>pronounced</w:t>
      </w:r>
      <w:r w:rsidR="008103BE">
        <w:rPr>
          <w:rFonts w:ascii="Arial" w:hAnsi="Arial"/>
          <w:sz w:val="20"/>
        </w:rPr>
        <w:t>-</w:t>
      </w:r>
      <w:r w:rsidRPr="00736656">
        <w:rPr>
          <w:rFonts w:ascii="Arial" w:hAnsi="Arial"/>
          <w:sz w:val="20"/>
        </w:rPr>
        <w:t>than</w:t>
      </w:r>
      <w:r w:rsidR="008103BE">
        <w:rPr>
          <w:rFonts w:ascii="Arial" w:hAnsi="Arial"/>
          <w:sz w:val="20"/>
        </w:rPr>
        <w:t>-</w:t>
      </w:r>
      <w:r w:rsidRPr="00736656">
        <w:rPr>
          <w:rFonts w:ascii="Arial" w:hAnsi="Arial"/>
          <w:sz w:val="20"/>
        </w:rPr>
        <w:t xml:space="preserve">expected Chinese slowdown, given that 18% of its exports are destined for China. Weak growth (estimated at 0.9% </w:t>
      </w:r>
      <w:r w:rsidR="00AE0D55">
        <w:rPr>
          <w:rFonts w:ascii="Arial" w:hAnsi="Arial"/>
          <w:sz w:val="20"/>
        </w:rPr>
        <w:t>for</w:t>
      </w:r>
      <w:r w:rsidRPr="00736656">
        <w:rPr>
          <w:rFonts w:ascii="Arial" w:hAnsi="Arial"/>
          <w:sz w:val="20"/>
        </w:rPr>
        <w:t xml:space="preserve"> 2016), </w:t>
      </w:r>
      <w:r w:rsidR="00AE0D55">
        <w:rPr>
          <w:rFonts w:ascii="Arial" w:hAnsi="Arial"/>
          <w:sz w:val="20"/>
        </w:rPr>
        <w:t>the</w:t>
      </w:r>
      <w:r w:rsidRPr="00736656">
        <w:rPr>
          <w:rFonts w:ascii="Arial" w:hAnsi="Arial"/>
          <w:sz w:val="20"/>
        </w:rPr>
        <w:t xml:space="preserve"> persistent risk of deflation and the indispensability of fiscal consolidation</w:t>
      </w:r>
      <w:r w:rsidR="008103BE">
        <w:rPr>
          <w:rFonts w:ascii="Arial" w:hAnsi="Arial"/>
          <w:sz w:val="20"/>
        </w:rPr>
        <w:t>,</w:t>
      </w:r>
      <w:r w:rsidRPr="00736656">
        <w:rPr>
          <w:rFonts w:ascii="Arial" w:hAnsi="Arial"/>
          <w:sz w:val="20"/>
        </w:rPr>
        <w:t xml:space="preserve"> explain the plac</w:t>
      </w:r>
      <w:r w:rsidR="008103BE">
        <w:rPr>
          <w:rFonts w:ascii="Arial" w:hAnsi="Arial"/>
          <w:sz w:val="20"/>
        </w:rPr>
        <w:t>ing</w:t>
      </w:r>
      <w:r w:rsidRPr="00736656">
        <w:rPr>
          <w:rFonts w:ascii="Arial" w:hAnsi="Arial"/>
          <w:sz w:val="20"/>
        </w:rPr>
        <w:t xml:space="preserve"> of its </w:t>
      </w:r>
      <w:r w:rsidRPr="00736656">
        <w:rPr>
          <w:rFonts w:ascii="Arial" w:hAnsi="Arial"/>
          <w:b/>
          <w:sz w:val="20"/>
        </w:rPr>
        <w:t>A1</w:t>
      </w:r>
      <w:r w:rsidRPr="00736656">
        <w:rPr>
          <w:rFonts w:ascii="Arial" w:hAnsi="Arial"/>
          <w:sz w:val="20"/>
        </w:rPr>
        <w:t xml:space="preserve"> </w:t>
      </w:r>
      <w:r w:rsidR="00DD381F">
        <w:rPr>
          <w:rFonts w:ascii="Arial" w:hAnsi="Arial"/>
          <w:sz w:val="20"/>
        </w:rPr>
        <w:t>assessment</w:t>
      </w:r>
      <w:r w:rsidR="00DD381F" w:rsidRPr="00736656">
        <w:rPr>
          <w:rFonts w:ascii="Arial" w:hAnsi="Arial"/>
          <w:sz w:val="20"/>
        </w:rPr>
        <w:t xml:space="preserve"> </w:t>
      </w:r>
      <w:r w:rsidRPr="00736656">
        <w:rPr>
          <w:rFonts w:ascii="Arial" w:hAnsi="Arial"/>
          <w:sz w:val="20"/>
        </w:rPr>
        <w:t xml:space="preserve">under </w:t>
      </w:r>
      <w:r w:rsidRPr="00736656">
        <w:rPr>
          <w:rFonts w:ascii="Arial" w:hAnsi="Arial"/>
          <w:b/>
          <w:sz w:val="20"/>
        </w:rPr>
        <w:t>negative watch</w:t>
      </w:r>
      <w:r w:rsidRPr="00736656">
        <w:rPr>
          <w:rFonts w:ascii="Arial" w:hAnsi="Arial"/>
          <w:sz w:val="20"/>
        </w:rPr>
        <w:t xml:space="preserve">. Not surprisingly, the decrease in demand and </w:t>
      </w:r>
      <w:r w:rsidR="00EA26EF">
        <w:rPr>
          <w:rFonts w:ascii="Arial" w:hAnsi="Arial"/>
          <w:sz w:val="20"/>
        </w:rPr>
        <w:t xml:space="preserve">in </w:t>
      </w:r>
      <w:r w:rsidRPr="00736656">
        <w:rPr>
          <w:rFonts w:ascii="Arial" w:hAnsi="Arial"/>
          <w:sz w:val="20"/>
        </w:rPr>
        <w:t xml:space="preserve">tourism from mainland China will continue </w:t>
      </w:r>
      <w:r w:rsidR="00EA26EF">
        <w:rPr>
          <w:rFonts w:ascii="Arial" w:hAnsi="Arial"/>
          <w:sz w:val="20"/>
        </w:rPr>
        <w:t>affect</w:t>
      </w:r>
      <w:r w:rsidRPr="00736656">
        <w:rPr>
          <w:rFonts w:ascii="Arial" w:hAnsi="Arial"/>
          <w:sz w:val="20"/>
        </w:rPr>
        <w:t xml:space="preserve"> activity in </w:t>
      </w:r>
      <w:r w:rsidRPr="00736656">
        <w:rPr>
          <w:rFonts w:ascii="Arial" w:hAnsi="Arial"/>
          <w:b/>
          <w:sz w:val="20"/>
        </w:rPr>
        <w:t xml:space="preserve">Hong Kong </w:t>
      </w:r>
      <w:r w:rsidRPr="00736656">
        <w:rPr>
          <w:rFonts w:ascii="Arial" w:hAnsi="Arial"/>
          <w:sz w:val="20"/>
        </w:rPr>
        <w:t>and</w:t>
      </w:r>
      <w:r w:rsidRPr="00736656">
        <w:rPr>
          <w:rFonts w:ascii="Arial" w:hAnsi="Arial"/>
          <w:b/>
          <w:sz w:val="20"/>
        </w:rPr>
        <w:t xml:space="preserve"> Taiwan</w:t>
      </w:r>
      <w:r w:rsidRPr="00736656">
        <w:rPr>
          <w:rFonts w:ascii="Arial" w:hAnsi="Arial"/>
          <w:sz w:val="20"/>
        </w:rPr>
        <w:t xml:space="preserve">, also under </w:t>
      </w:r>
      <w:r w:rsidRPr="00736656">
        <w:rPr>
          <w:rFonts w:ascii="Arial" w:hAnsi="Arial"/>
          <w:b/>
          <w:sz w:val="20"/>
        </w:rPr>
        <w:t>negative watch</w:t>
      </w:r>
      <w:r w:rsidRPr="00736656">
        <w:rPr>
          <w:rFonts w:ascii="Arial" w:hAnsi="Arial"/>
          <w:sz w:val="20"/>
        </w:rPr>
        <w:t>.</w:t>
      </w:r>
    </w:p>
    <w:p w:rsidR="004C60EC" w:rsidRPr="00736656" w:rsidRDefault="004C60EC" w:rsidP="00B1644B">
      <w:pPr>
        <w:suppressAutoHyphens/>
        <w:spacing w:line="270" w:lineRule="exact"/>
        <w:jc w:val="both"/>
        <w:rPr>
          <w:rFonts w:ascii="Arial" w:hAnsi="Arial" w:cs="Arial"/>
          <w:bCs/>
          <w:sz w:val="20"/>
          <w:szCs w:val="20"/>
        </w:rPr>
      </w:pPr>
    </w:p>
    <w:p w:rsidR="00355306" w:rsidRPr="00736656" w:rsidRDefault="00355306" w:rsidP="00630833">
      <w:pPr>
        <w:suppressAutoHyphens/>
        <w:spacing w:line="270" w:lineRule="exact"/>
        <w:jc w:val="both"/>
        <w:rPr>
          <w:rFonts w:ascii="Arial" w:hAnsi="Arial" w:cs="Arial"/>
          <w:bCs/>
          <w:sz w:val="20"/>
          <w:szCs w:val="20"/>
        </w:rPr>
      </w:pPr>
      <w:r w:rsidRPr="00736656">
        <w:rPr>
          <w:rFonts w:ascii="Arial" w:hAnsi="Arial"/>
          <w:sz w:val="20"/>
        </w:rPr>
        <w:t xml:space="preserve">In the </w:t>
      </w:r>
      <w:proofErr w:type="spellStart"/>
      <w:r w:rsidRPr="00736656">
        <w:rPr>
          <w:rFonts w:ascii="Arial" w:hAnsi="Arial"/>
          <w:sz w:val="20"/>
        </w:rPr>
        <w:t>eurozone</w:t>
      </w:r>
      <w:proofErr w:type="spellEnd"/>
      <w:r w:rsidRPr="00736656">
        <w:rPr>
          <w:rFonts w:ascii="Arial" w:hAnsi="Arial"/>
          <w:sz w:val="20"/>
        </w:rPr>
        <w:t xml:space="preserve"> (</w:t>
      </w:r>
      <w:r w:rsidR="003C0A87">
        <w:rPr>
          <w:rFonts w:ascii="Arial" w:hAnsi="Arial"/>
          <w:sz w:val="20"/>
        </w:rPr>
        <w:t xml:space="preserve">with </w:t>
      </w:r>
      <w:r w:rsidRPr="00736656">
        <w:rPr>
          <w:rFonts w:ascii="Arial" w:hAnsi="Arial"/>
          <w:sz w:val="20"/>
        </w:rPr>
        <w:t>1.7% growth expected in 2016), the situation of companies is gradually improving</w:t>
      </w:r>
      <w:r w:rsidR="003C0A87">
        <w:rPr>
          <w:rFonts w:ascii="Arial" w:hAnsi="Arial"/>
          <w:sz w:val="20"/>
        </w:rPr>
        <w:t>. This is</w:t>
      </w:r>
      <w:r w:rsidRPr="00736656">
        <w:rPr>
          <w:rFonts w:ascii="Arial" w:hAnsi="Arial"/>
          <w:sz w:val="20"/>
        </w:rPr>
        <w:t xml:space="preserve"> evidenced by the insolvency statistics </w:t>
      </w:r>
      <w:r w:rsidR="003C0A87">
        <w:rPr>
          <w:rFonts w:ascii="Arial" w:hAnsi="Arial"/>
          <w:sz w:val="20"/>
        </w:rPr>
        <w:t>for</w:t>
      </w:r>
      <w:r w:rsidRPr="00736656">
        <w:rPr>
          <w:rFonts w:ascii="Arial" w:hAnsi="Arial"/>
          <w:sz w:val="20"/>
        </w:rPr>
        <w:t xml:space="preserve"> France, Germany, </w:t>
      </w:r>
      <w:r w:rsidRPr="00736656">
        <w:rPr>
          <w:rFonts w:ascii="Arial" w:hAnsi="Arial"/>
          <w:b/>
          <w:sz w:val="20"/>
        </w:rPr>
        <w:t>Italy</w:t>
      </w:r>
      <w:r w:rsidRPr="00736656">
        <w:rPr>
          <w:rFonts w:ascii="Arial" w:hAnsi="Arial"/>
          <w:sz w:val="20"/>
        </w:rPr>
        <w:t xml:space="preserve"> (a decrease of between </w:t>
      </w:r>
      <w:r w:rsidR="00DD381F">
        <w:rPr>
          <w:rFonts w:ascii="Arial" w:hAnsi="Arial"/>
          <w:sz w:val="20"/>
        </w:rPr>
        <w:t>-</w:t>
      </w:r>
      <w:r w:rsidRPr="00736656">
        <w:rPr>
          <w:rFonts w:ascii="Arial" w:hAnsi="Arial"/>
          <w:sz w:val="20"/>
        </w:rPr>
        <w:t xml:space="preserve">3.5% and </w:t>
      </w:r>
      <w:r w:rsidR="00DD381F">
        <w:rPr>
          <w:rFonts w:ascii="Arial" w:hAnsi="Arial"/>
          <w:sz w:val="20"/>
        </w:rPr>
        <w:t>-</w:t>
      </w:r>
      <w:r w:rsidRPr="00736656">
        <w:rPr>
          <w:rFonts w:ascii="Arial" w:hAnsi="Arial"/>
          <w:sz w:val="20"/>
        </w:rPr>
        <w:t xml:space="preserve">5% over the first nine months of 2015 compared with the same period in 2014) and especially Spain (-26%). Italian growth will be supported by domestic demand, which will benefit from the return of confidence and </w:t>
      </w:r>
      <w:r w:rsidR="003C0A87">
        <w:rPr>
          <w:rFonts w:ascii="Arial" w:hAnsi="Arial"/>
          <w:sz w:val="20"/>
        </w:rPr>
        <w:t xml:space="preserve">the </w:t>
      </w:r>
      <w:r w:rsidRPr="00736656">
        <w:rPr>
          <w:rFonts w:ascii="Arial" w:hAnsi="Arial"/>
          <w:sz w:val="20"/>
        </w:rPr>
        <w:t>progress in structural reforms</w:t>
      </w:r>
      <w:r w:rsidR="008103BE">
        <w:rPr>
          <w:rFonts w:ascii="Arial" w:hAnsi="Arial"/>
          <w:sz w:val="20"/>
        </w:rPr>
        <w:t>. This</w:t>
      </w:r>
      <w:r w:rsidRPr="00736656">
        <w:rPr>
          <w:rFonts w:ascii="Arial" w:hAnsi="Arial"/>
          <w:sz w:val="20"/>
        </w:rPr>
        <w:t xml:space="preserve"> has </w:t>
      </w:r>
      <w:r w:rsidR="003C0A87">
        <w:rPr>
          <w:rFonts w:ascii="Arial" w:hAnsi="Arial"/>
          <w:sz w:val="20"/>
        </w:rPr>
        <w:t xml:space="preserve">led </w:t>
      </w:r>
      <w:proofErr w:type="spellStart"/>
      <w:r w:rsidRPr="00736656">
        <w:rPr>
          <w:rFonts w:ascii="Arial" w:hAnsi="Arial"/>
          <w:sz w:val="20"/>
        </w:rPr>
        <w:t>Coface</w:t>
      </w:r>
      <w:proofErr w:type="spellEnd"/>
      <w:r w:rsidRPr="00736656">
        <w:rPr>
          <w:rFonts w:ascii="Arial" w:hAnsi="Arial"/>
          <w:sz w:val="20"/>
        </w:rPr>
        <w:t xml:space="preserve"> to plac</w:t>
      </w:r>
      <w:r w:rsidR="008103BE">
        <w:rPr>
          <w:rFonts w:ascii="Arial" w:hAnsi="Arial"/>
          <w:sz w:val="20"/>
        </w:rPr>
        <w:t>e Italy’s</w:t>
      </w:r>
      <w:r w:rsidRPr="00736656">
        <w:rPr>
          <w:rFonts w:ascii="Arial" w:hAnsi="Arial"/>
          <w:sz w:val="20"/>
        </w:rPr>
        <w:t xml:space="preserve"> </w:t>
      </w:r>
      <w:r w:rsidRPr="00736656">
        <w:rPr>
          <w:rFonts w:ascii="Arial" w:hAnsi="Arial"/>
          <w:b/>
          <w:sz w:val="20"/>
        </w:rPr>
        <w:t>B</w:t>
      </w:r>
      <w:r w:rsidRPr="00736656">
        <w:rPr>
          <w:rFonts w:ascii="Arial" w:hAnsi="Arial"/>
          <w:sz w:val="20"/>
        </w:rPr>
        <w:t xml:space="preserve"> </w:t>
      </w:r>
      <w:r w:rsidR="00DD381F">
        <w:rPr>
          <w:rFonts w:ascii="Arial" w:hAnsi="Arial"/>
          <w:sz w:val="20"/>
        </w:rPr>
        <w:t>assessment</w:t>
      </w:r>
      <w:r w:rsidR="00DD381F" w:rsidRPr="00736656">
        <w:rPr>
          <w:rFonts w:ascii="Arial" w:hAnsi="Arial"/>
          <w:sz w:val="20"/>
        </w:rPr>
        <w:t xml:space="preserve"> </w:t>
      </w:r>
      <w:r w:rsidRPr="00736656">
        <w:rPr>
          <w:rFonts w:ascii="Arial" w:hAnsi="Arial"/>
          <w:sz w:val="20"/>
        </w:rPr>
        <w:t xml:space="preserve">under </w:t>
      </w:r>
      <w:r w:rsidRPr="00736656">
        <w:rPr>
          <w:rFonts w:ascii="Arial" w:hAnsi="Arial"/>
          <w:b/>
          <w:sz w:val="20"/>
        </w:rPr>
        <w:t>positive watch</w:t>
      </w:r>
      <w:r w:rsidRPr="00736656">
        <w:rPr>
          <w:rFonts w:ascii="Arial" w:hAnsi="Arial"/>
          <w:sz w:val="20"/>
        </w:rPr>
        <w:t>.</w:t>
      </w:r>
    </w:p>
    <w:p w:rsidR="00FC7469" w:rsidRPr="00736656" w:rsidRDefault="00FC7469" w:rsidP="009745C4">
      <w:pPr>
        <w:suppressAutoHyphens/>
        <w:spacing w:line="270" w:lineRule="exact"/>
        <w:jc w:val="both"/>
        <w:rPr>
          <w:rFonts w:ascii="Arial" w:hAnsi="Arial" w:cs="Arial"/>
          <w:bCs/>
          <w:sz w:val="20"/>
          <w:szCs w:val="20"/>
        </w:rPr>
      </w:pPr>
    </w:p>
    <w:p w:rsidR="0001193F" w:rsidRPr="00736656" w:rsidRDefault="002E7F21" w:rsidP="0001193F">
      <w:pPr>
        <w:autoSpaceDE w:val="0"/>
        <w:autoSpaceDN w:val="0"/>
        <w:adjustRightInd w:val="0"/>
        <w:spacing w:line="270" w:lineRule="exact"/>
        <w:jc w:val="both"/>
        <w:rPr>
          <w:rFonts w:ascii="Arial" w:hAnsi="Arial" w:cs="Arial"/>
          <w:b/>
          <w:bCs/>
          <w:sz w:val="20"/>
          <w:szCs w:val="20"/>
        </w:rPr>
      </w:pPr>
      <w:r w:rsidRPr="00736656">
        <w:rPr>
          <w:rFonts w:ascii="Arial" w:hAnsi="Arial"/>
          <w:b/>
          <w:sz w:val="20"/>
        </w:rPr>
        <w:t>Excessive</w:t>
      </w:r>
      <w:r w:rsidR="008103BE">
        <w:rPr>
          <w:rFonts w:ascii="Arial" w:hAnsi="Arial"/>
          <w:b/>
          <w:sz w:val="20"/>
        </w:rPr>
        <w:t xml:space="preserve"> company</w:t>
      </w:r>
      <w:r w:rsidRPr="00736656">
        <w:rPr>
          <w:rFonts w:ascii="Arial" w:hAnsi="Arial"/>
          <w:b/>
          <w:sz w:val="20"/>
        </w:rPr>
        <w:t xml:space="preserve"> indebtedness: a new </w:t>
      </w:r>
      <w:r w:rsidR="008103BE">
        <w:rPr>
          <w:rFonts w:ascii="Arial" w:hAnsi="Arial"/>
          <w:b/>
          <w:sz w:val="20"/>
        </w:rPr>
        <w:t>malaise</w:t>
      </w:r>
      <w:r w:rsidRPr="00736656">
        <w:rPr>
          <w:rFonts w:ascii="Arial" w:hAnsi="Arial"/>
          <w:b/>
          <w:sz w:val="20"/>
        </w:rPr>
        <w:t xml:space="preserve"> </w:t>
      </w:r>
      <w:r w:rsidR="008103BE">
        <w:rPr>
          <w:rFonts w:ascii="Arial" w:hAnsi="Arial"/>
          <w:b/>
          <w:sz w:val="20"/>
        </w:rPr>
        <w:t>in</w:t>
      </w:r>
      <w:r w:rsidRPr="00736656">
        <w:rPr>
          <w:rFonts w:ascii="Arial" w:hAnsi="Arial"/>
          <w:b/>
          <w:sz w:val="20"/>
        </w:rPr>
        <w:t xml:space="preserve"> emerging countries</w:t>
      </w:r>
    </w:p>
    <w:p w:rsidR="0001193F" w:rsidRPr="00736656" w:rsidRDefault="0001193F" w:rsidP="009745C4">
      <w:pPr>
        <w:suppressAutoHyphens/>
        <w:spacing w:line="270" w:lineRule="exact"/>
        <w:jc w:val="both"/>
        <w:rPr>
          <w:rFonts w:ascii="Arial" w:hAnsi="Arial" w:cs="Arial"/>
          <w:bCs/>
          <w:sz w:val="20"/>
          <w:szCs w:val="20"/>
        </w:rPr>
      </w:pPr>
    </w:p>
    <w:p w:rsidR="00D22425" w:rsidRPr="00736656" w:rsidRDefault="0001193F" w:rsidP="009745C4">
      <w:pPr>
        <w:suppressAutoHyphens/>
        <w:spacing w:line="270" w:lineRule="exact"/>
        <w:jc w:val="both"/>
        <w:rPr>
          <w:rFonts w:ascii="Arial" w:hAnsi="Arial" w:cs="Arial"/>
          <w:bCs/>
          <w:sz w:val="20"/>
          <w:szCs w:val="20"/>
        </w:rPr>
      </w:pPr>
      <w:r w:rsidRPr="00736656">
        <w:rPr>
          <w:rFonts w:ascii="Arial" w:hAnsi="Arial"/>
          <w:sz w:val="20"/>
        </w:rPr>
        <w:t xml:space="preserve">The situation </w:t>
      </w:r>
      <w:r w:rsidR="003C0A87">
        <w:rPr>
          <w:rFonts w:ascii="Arial" w:hAnsi="Arial"/>
          <w:sz w:val="20"/>
        </w:rPr>
        <w:t>for</w:t>
      </w:r>
      <w:r w:rsidRPr="00736656">
        <w:rPr>
          <w:rFonts w:ascii="Arial" w:hAnsi="Arial"/>
          <w:sz w:val="20"/>
        </w:rPr>
        <w:t xml:space="preserve"> emerging countries, wh</w:t>
      </w:r>
      <w:r w:rsidR="003C0A87">
        <w:rPr>
          <w:rFonts w:ascii="Arial" w:hAnsi="Arial"/>
          <w:sz w:val="20"/>
        </w:rPr>
        <w:t>ere</w:t>
      </w:r>
      <w:r w:rsidRPr="00736656">
        <w:rPr>
          <w:rFonts w:ascii="Arial" w:hAnsi="Arial"/>
          <w:sz w:val="20"/>
        </w:rPr>
        <w:t xml:space="preserve"> growth </w:t>
      </w:r>
      <w:r w:rsidR="008103BE">
        <w:rPr>
          <w:rFonts w:ascii="Arial" w:hAnsi="Arial"/>
          <w:sz w:val="20"/>
        </w:rPr>
        <w:t>h</w:t>
      </w:r>
      <w:r w:rsidRPr="00736656">
        <w:rPr>
          <w:rFonts w:ascii="Arial" w:hAnsi="Arial"/>
          <w:sz w:val="20"/>
        </w:rPr>
        <w:t xml:space="preserve">as </w:t>
      </w:r>
      <w:r w:rsidR="003C0A87">
        <w:rPr>
          <w:rFonts w:ascii="Arial" w:hAnsi="Arial"/>
          <w:sz w:val="20"/>
        </w:rPr>
        <w:t>halved</w:t>
      </w:r>
      <w:r w:rsidRPr="00736656">
        <w:rPr>
          <w:rFonts w:ascii="Arial" w:hAnsi="Arial"/>
          <w:sz w:val="20"/>
        </w:rPr>
        <w:t xml:space="preserve"> in five years (3.9% expected in 2016), is further complicated by the </w:t>
      </w:r>
      <w:r w:rsidR="003C0A87">
        <w:rPr>
          <w:rFonts w:ascii="Arial" w:hAnsi="Arial"/>
          <w:sz w:val="20"/>
        </w:rPr>
        <w:t>growing</w:t>
      </w:r>
      <w:r w:rsidRPr="00736656">
        <w:rPr>
          <w:rFonts w:ascii="Arial" w:hAnsi="Arial"/>
          <w:sz w:val="20"/>
        </w:rPr>
        <w:t xml:space="preserve"> indebtedness of companies</w:t>
      </w:r>
      <w:r w:rsidR="003C0A87">
        <w:rPr>
          <w:rFonts w:ascii="Arial" w:hAnsi="Arial"/>
          <w:sz w:val="20"/>
        </w:rPr>
        <w:t xml:space="preserve"> affected by both the drop in commodity prices and the</w:t>
      </w:r>
      <w:r w:rsidRPr="00736656">
        <w:rPr>
          <w:rFonts w:ascii="Arial" w:hAnsi="Arial"/>
          <w:sz w:val="20"/>
        </w:rPr>
        <w:t xml:space="preserve"> highly expansionary monetary policies </w:t>
      </w:r>
      <w:r w:rsidR="003C0A87">
        <w:rPr>
          <w:rFonts w:ascii="Arial" w:hAnsi="Arial"/>
          <w:sz w:val="20"/>
        </w:rPr>
        <w:t>which followed</w:t>
      </w:r>
      <w:r w:rsidRPr="00736656">
        <w:rPr>
          <w:rFonts w:ascii="Arial" w:hAnsi="Arial"/>
          <w:sz w:val="20"/>
        </w:rPr>
        <w:t xml:space="preserve"> the Lehman Brothers crisis</w:t>
      </w:r>
      <w:r w:rsidR="003C0A87">
        <w:rPr>
          <w:rFonts w:ascii="Arial" w:hAnsi="Arial"/>
          <w:sz w:val="20"/>
        </w:rPr>
        <w:t>.</w:t>
      </w:r>
      <w:r w:rsidRPr="00736656">
        <w:rPr>
          <w:rFonts w:ascii="Arial" w:hAnsi="Arial"/>
          <w:sz w:val="20"/>
        </w:rPr>
        <w:t xml:space="preserve"> Only Central Europe remains unaffected at this stage. </w:t>
      </w:r>
      <w:r w:rsidRPr="00736656">
        <w:rPr>
          <w:rFonts w:ascii="Arial" w:hAnsi="Arial"/>
          <w:b/>
          <w:sz w:val="20"/>
        </w:rPr>
        <w:t>Hungary</w:t>
      </w:r>
      <w:r w:rsidRPr="00736656">
        <w:rPr>
          <w:rFonts w:ascii="Arial" w:hAnsi="Arial"/>
          <w:sz w:val="20"/>
        </w:rPr>
        <w:t xml:space="preserve"> (</w:t>
      </w:r>
      <w:r w:rsidR="003C0A87">
        <w:rPr>
          <w:rFonts w:ascii="Arial" w:hAnsi="Arial"/>
          <w:sz w:val="20"/>
        </w:rPr>
        <w:t xml:space="preserve">whose </w:t>
      </w:r>
      <w:r w:rsidR="00DD381F">
        <w:rPr>
          <w:rFonts w:ascii="Arial" w:hAnsi="Arial"/>
          <w:sz w:val="20"/>
        </w:rPr>
        <w:t>assessment</w:t>
      </w:r>
      <w:r w:rsidR="00DD381F" w:rsidRPr="00736656">
        <w:rPr>
          <w:rFonts w:ascii="Arial" w:hAnsi="Arial"/>
          <w:sz w:val="20"/>
        </w:rPr>
        <w:t xml:space="preserve"> </w:t>
      </w:r>
      <w:r w:rsidRPr="00736656">
        <w:rPr>
          <w:rFonts w:ascii="Arial" w:hAnsi="Arial"/>
          <w:sz w:val="20"/>
        </w:rPr>
        <w:t>improved by one notch</w:t>
      </w:r>
      <w:r w:rsidR="003C0A87">
        <w:rPr>
          <w:rFonts w:ascii="Arial" w:hAnsi="Arial"/>
          <w:sz w:val="20"/>
        </w:rPr>
        <w:t>,</w:t>
      </w:r>
      <w:r w:rsidRPr="00736656">
        <w:rPr>
          <w:rFonts w:ascii="Arial" w:hAnsi="Arial"/>
          <w:b/>
          <w:sz w:val="20"/>
        </w:rPr>
        <w:t xml:space="preserve"> </w:t>
      </w:r>
      <w:r w:rsidRPr="00736656">
        <w:rPr>
          <w:rFonts w:ascii="Arial" w:hAnsi="Arial"/>
          <w:sz w:val="20"/>
        </w:rPr>
        <w:t>to</w:t>
      </w:r>
      <w:r w:rsidRPr="00736656">
        <w:rPr>
          <w:rFonts w:ascii="Arial" w:hAnsi="Arial"/>
          <w:b/>
          <w:sz w:val="20"/>
        </w:rPr>
        <w:t xml:space="preserve"> A4</w:t>
      </w:r>
      <w:r w:rsidRPr="00736656">
        <w:rPr>
          <w:rFonts w:ascii="Arial" w:hAnsi="Arial"/>
          <w:sz w:val="20"/>
        </w:rPr>
        <w:t>)</w:t>
      </w:r>
      <w:r w:rsidRPr="00736656">
        <w:rPr>
          <w:rFonts w:ascii="Arial" w:hAnsi="Arial"/>
          <w:b/>
          <w:sz w:val="20"/>
        </w:rPr>
        <w:t xml:space="preserve"> </w:t>
      </w:r>
      <w:r w:rsidRPr="00736656">
        <w:rPr>
          <w:rFonts w:ascii="Arial" w:hAnsi="Arial"/>
          <w:sz w:val="20"/>
        </w:rPr>
        <w:t>and</w:t>
      </w:r>
      <w:r w:rsidRPr="00736656">
        <w:rPr>
          <w:rFonts w:ascii="Arial" w:hAnsi="Arial"/>
          <w:b/>
          <w:sz w:val="20"/>
        </w:rPr>
        <w:t xml:space="preserve"> Latvia</w:t>
      </w:r>
      <w:r w:rsidRPr="00736656">
        <w:rPr>
          <w:rFonts w:ascii="Arial" w:hAnsi="Arial"/>
          <w:sz w:val="20"/>
        </w:rPr>
        <w:t xml:space="preserve"> (</w:t>
      </w:r>
      <w:r w:rsidRPr="00736656">
        <w:rPr>
          <w:rFonts w:ascii="Arial" w:hAnsi="Arial"/>
          <w:b/>
          <w:sz w:val="20"/>
        </w:rPr>
        <w:t>B</w:t>
      </w:r>
      <w:r w:rsidRPr="00736656">
        <w:rPr>
          <w:rFonts w:ascii="Arial" w:hAnsi="Arial"/>
          <w:sz w:val="20"/>
        </w:rPr>
        <w:t xml:space="preserve"> </w:t>
      </w:r>
      <w:r w:rsidRPr="00736656">
        <w:rPr>
          <w:rFonts w:ascii="Arial" w:hAnsi="Arial"/>
          <w:b/>
          <w:sz w:val="20"/>
        </w:rPr>
        <w:t>under positive watch</w:t>
      </w:r>
      <w:r w:rsidRPr="00736656">
        <w:rPr>
          <w:rFonts w:ascii="Arial" w:hAnsi="Arial"/>
          <w:sz w:val="20"/>
        </w:rPr>
        <w:t>) stand out for their solid growth, supported by household consumption</w:t>
      </w:r>
      <w:r w:rsidR="00DD381F">
        <w:rPr>
          <w:rFonts w:ascii="Arial" w:hAnsi="Arial"/>
          <w:sz w:val="20"/>
        </w:rPr>
        <w:t>,</w:t>
      </w:r>
      <w:r w:rsidRPr="00736656">
        <w:rPr>
          <w:rFonts w:ascii="Arial" w:hAnsi="Arial"/>
          <w:sz w:val="20"/>
        </w:rPr>
        <w:t xml:space="preserve"> and </w:t>
      </w:r>
      <w:r w:rsidR="00DD381F">
        <w:rPr>
          <w:rFonts w:ascii="Arial" w:hAnsi="Arial"/>
          <w:sz w:val="20"/>
        </w:rPr>
        <w:t xml:space="preserve">for </w:t>
      </w:r>
      <w:r w:rsidRPr="00736656">
        <w:rPr>
          <w:rFonts w:ascii="Arial" w:hAnsi="Arial"/>
          <w:sz w:val="20"/>
        </w:rPr>
        <w:t xml:space="preserve">increased exports to European countries </w:t>
      </w:r>
      <w:r w:rsidR="00EA26EF" w:rsidRPr="00736656">
        <w:rPr>
          <w:rFonts w:ascii="Arial" w:hAnsi="Arial"/>
          <w:sz w:val="20"/>
        </w:rPr>
        <w:t xml:space="preserve">other </w:t>
      </w:r>
      <w:r w:rsidRPr="00736656">
        <w:rPr>
          <w:rFonts w:ascii="Arial" w:hAnsi="Arial"/>
          <w:sz w:val="20"/>
        </w:rPr>
        <w:t>rather than Russia.</w:t>
      </w:r>
    </w:p>
    <w:p w:rsidR="00C054F2" w:rsidRPr="00736656" w:rsidRDefault="00C054F2" w:rsidP="009745C4">
      <w:pPr>
        <w:suppressAutoHyphens/>
        <w:spacing w:line="270" w:lineRule="exact"/>
        <w:jc w:val="both"/>
        <w:rPr>
          <w:rFonts w:ascii="Arial" w:hAnsi="Arial" w:cs="Arial"/>
          <w:bCs/>
          <w:sz w:val="20"/>
          <w:szCs w:val="20"/>
        </w:rPr>
      </w:pPr>
    </w:p>
    <w:p w:rsidR="00A864C2" w:rsidRPr="00736656" w:rsidRDefault="00823ACD" w:rsidP="009745C4">
      <w:pPr>
        <w:suppressAutoHyphens/>
        <w:spacing w:line="270" w:lineRule="exact"/>
        <w:jc w:val="both"/>
        <w:rPr>
          <w:rFonts w:ascii="Arial" w:hAnsi="Arial" w:cs="Arial"/>
          <w:bCs/>
          <w:sz w:val="20"/>
          <w:szCs w:val="20"/>
        </w:rPr>
      </w:pPr>
      <w:r w:rsidRPr="00736656">
        <w:rPr>
          <w:rFonts w:ascii="Arial" w:hAnsi="Arial"/>
          <w:sz w:val="20"/>
        </w:rPr>
        <w:t>According to Coface’s economists, Chinese companies are among the most indebted</w:t>
      </w:r>
      <w:r w:rsidR="00A35815">
        <w:rPr>
          <w:rFonts w:ascii="Arial" w:hAnsi="Arial"/>
          <w:sz w:val="20"/>
        </w:rPr>
        <w:t>. T</w:t>
      </w:r>
      <w:r w:rsidRPr="00736656">
        <w:rPr>
          <w:rFonts w:ascii="Arial" w:hAnsi="Arial"/>
          <w:sz w:val="20"/>
        </w:rPr>
        <w:t>heir debt represents more than 160% of GDP</w:t>
      </w:r>
      <w:r w:rsidR="00A35815">
        <w:rPr>
          <w:rFonts w:ascii="Arial" w:hAnsi="Arial"/>
          <w:sz w:val="20"/>
        </w:rPr>
        <w:t xml:space="preserve"> and</w:t>
      </w:r>
      <w:r w:rsidRPr="00736656">
        <w:rPr>
          <w:rFonts w:ascii="Arial" w:hAnsi="Arial"/>
          <w:sz w:val="20"/>
        </w:rPr>
        <w:t xml:space="preserve"> 60 points more than in 2008. </w:t>
      </w:r>
      <w:r w:rsidR="00A35815">
        <w:rPr>
          <w:rFonts w:ascii="Arial" w:hAnsi="Arial"/>
          <w:sz w:val="20"/>
        </w:rPr>
        <w:t>Following China</w:t>
      </w:r>
      <w:r w:rsidRPr="00736656">
        <w:rPr>
          <w:rFonts w:ascii="Arial" w:hAnsi="Arial"/>
          <w:sz w:val="20"/>
        </w:rPr>
        <w:t xml:space="preserve"> </w:t>
      </w:r>
      <w:r w:rsidR="00A35815">
        <w:rPr>
          <w:rFonts w:ascii="Arial" w:hAnsi="Arial"/>
          <w:sz w:val="20"/>
        </w:rPr>
        <w:t>are</w:t>
      </w:r>
      <w:r w:rsidRPr="00736656">
        <w:rPr>
          <w:rFonts w:ascii="Arial" w:hAnsi="Arial"/>
          <w:sz w:val="20"/>
        </w:rPr>
        <w:t xml:space="preserve"> Turkey (+30 points), Brazil (+17 points), Russia (+14 points), and Malaysia (+11 points). Turkish companies, which have one-third of their debt denominated in US dollars, are proving to be among the most exposed to currency risk</w:t>
      </w:r>
      <w:r w:rsidR="00A35815">
        <w:rPr>
          <w:rFonts w:ascii="Arial" w:hAnsi="Arial"/>
          <w:sz w:val="20"/>
        </w:rPr>
        <w:t>s</w:t>
      </w:r>
      <w:r w:rsidRPr="00736656">
        <w:rPr>
          <w:rFonts w:ascii="Arial" w:hAnsi="Arial"/>
          <w:sz w:val="20"/>
        </w:rPr>
        <w:t xml:space="preserve">. </w:t>
      </w:r>
      <w:r w:rsidR="00A35815">
        <w:rPr>
          <w:rFonts w:ascii="Arial" w:hAnsi="Arial"/>
          <w:sz w:val="20"/>
        </w:rPr>
        <w:t>The m</w:t>
      </w:r>
      <w:r w:rsidRPr="00736656">
        <w:rPr>
          <w:rFonts w:ascii="Arial" w:hAnsi="Arial"/>
          <w:sz w:val="20"/>
        </w:rPr>
        <w:t>ain glimmer of hope in the medium term</w:t>
      </w:r>
      <w:r w:rsidR="00A35815">
        <w:rPr>
          <w:rFonts w:ascii="Arial" w:hAnsi="Arial"/>
          <w:sz w:val="20"/>
        </w:rPr>
        <w:t xml:space="preserve"> </w:t>
      </w:r>
      <w:r w:rsidR="001605F6">
        <w:rPr>
          <w:rFonts w:ascii="Arial" w:hAnsi="Arial"/>
          <w:sz w:val="20"/>
        </w:rPr>
        <w:t>concerns</w:t>
      </w:r>
      <w:r w:rsidR="00A35815">
        <w:rPr>
          <w:rFonts w:ascii="Arial" w:hAnsi="Arial"/>
          <w:sz w:val="20"/>
        </w:rPr>
        <w:t xml:space="preserve"> the</w:t>
      </w:r>
      <w:r w:rsidRPr="00736656">
        <w:rPr>
          <w:rFonts w:ascii="Arial" w:hAnsi="Arial"/>
          <w:sz w:val="20"/>
        </w:rPr>
        <w:t xml:space="preserve"> </w:t>
      </w:r>
      <w:r w:rsidR="00EA26EF" w:rsidRPr="00736656">
        <w:rPr>
          <w:rFonts w:ascii="Arial" w:hAnsi="Arial"/>
          <w:sz w:val="20"/>
        </w:rPr>
        <w:t xml:space="preserve">gains </w:t>
      </w:r>
      <w:r w:rsidR="00EA26EF">
        <w:rPr>
          <w:rFonts w:ascii="Arial" w:hAnsi="Arial"/>
          <w:sz w:val="20"/>
        </w:rPr>
        <w:t xml:space="preserve">in </w:t>
      </w:r>
      <w:r w:rsidRPr="00736656">
        <w:rPr>
          <w:rFonts w:ascii="Arial" w:hAnsi="Arial"/>
          <w:sz w:val="20"/>
        </w:rPr>
        <w:t xml:space="preserve">competitiveness resulting from recent depreciations of emerging currencies. </w:t>
      </w:r>
    </w:p>
    <w:p w:rsidR="00A864C2" w:rsidRPr="00736656" w:rsidRDefault="00A864C2">
      <w:pPr>
        <w:rPr>
          <w:rFonts w:ascii="Arial" w:hAnsi="Arial" w:cs="Arial"/>
          <w:bCs/>
          <w:sz w:val="20"/>
          <w:szCs w:val="20"/>
          <w:highlight w:val="yellow"/>
        </w:rPr>
      </w:pPr>
      <w:r w:rsidRPr="00736656">
        <w:br w:type="page"/>
      </w:r>
    </w:p>
    <w:p w:rsidR="00A864C2" w:rsidRPr="00736656" w:rsidRDefault="003E582B" w:rsidP="002E7F21">
      <w:pPr>
        <w:pStyle w:val="Pieddepage"/>
        <w:spacing w:line="270" w:lineRule="exact"/>
        <w:jc w:val="both"/>
        <w:rPr>
          <w:rFonts w:ascii="Arial" w:hAnsi="Arial" w:cs="Arial"/>
          <w:bCs/>
          <w:sz w:val="20"/>
          <w:szCs w:val="20"/>
        </w:rPr>
      </w:pPr>
      <w:r w:rsidRPr="00736656">
        <w:rPr>
          <w:rFonts w:ascii="Arial" w:hAnsi="Arial"/>
          <w:sz w:val="20"/>
        </w:rPr>
        <w:lastRenderedPageBreak/>
        <w:t xml:space="preserve">In this context of increased risks for companies, Coface is issuing a one-notch downgrade of the </w:t>
      </w:r>
      <w:r w:rsidR="00DD381F">
        <w:rPr>
          <w:rFonts w:ascii="Arial" w:hAnsi="Arial"/>
          <w:sz w:val="20"/>
        </w:rPr>
        <w:t>assessments</w:t>
      </w:r>
      <w:r w:rsidR="00DD381F" w:rsidRPr="00736656">
        <w:rPr>
          <w:rFonts w:ascii="Arial" w:hAnsi="Arial"/>
          <w:sz w:val="20"/>
        </w:rPr>
        <w:t xml:space="preserve"> </w:t>
      </w:r>
      <w:r w:rsidR="00EA26EF">
        <w:rPr>
          <w:rFonts w:ascii="Arial" w:hAnsi="Arial"/>
          <w:sz w:val="20"/>
        </w:rPr>
        <w:t>of</w:t>
      </w:r>
      <w:r w:rsidRPr="00736656">
        <w:rPr>
          <w:rFonts w:ascii="Arial" w:hAnsi="Arial"/>
          <w:sz w:val="20"/>
        </w:rPr>
        <w:t xml:space="preserve"> several emerging countries that were already under negative watch. These include:</w:t>
      </w:r>
    </w:p>
    <w:p w:rsidR="00A864C2" w:rsidRPr="00736656" w:rsidRDefault="00A864C2" w:rsidP="002E7F21">
      <w:pPr>
        <w:pStyle w:val="Pieddepage"/>
        <w:spacing w:line="270" w:lineRule="exact"/>
        <w:jc w:val="both"/>
        <w:rPr>
          <w:rFonts w:ascii="Arial" w:hAnsi="Arial" w:cs="Arial"/>
          <w:bCs/>
          <w:sz w:val="20"/>
          <w:szCs w:val="20"/>
        </w:rPr>
      </w:pPr>
    </w:p>
    <w:p w:rsidR="003E582B" w:rsidRPr="00736656" w:rsidRDefault="003E582B" w:rsidP="001234BD">
      <w:pPr>
        <w:pStyle w:val="Pieddepage"/>
        <w:numPr>
          <w:ilvl w:val="0"/>
          <w:numId w:val="25"/>
        </w:numPr>
        <w:spacing w:line="270" w:lineRule="exact"/>
        <w:jc w:val="both"/>
        <w:rPr>
          <w:rFonts w:ascii="Arial" w:hAnsi="Arial" w:cs="Arial"/>
          <w:bCs/>
          <w:sz w:val="20"/>
          <w:szCs w:val="20"/>
        </w:rPr>
      </w:pPr>
      <w:r w:rsidRPr="00736656">
        <w:rPr>
          <w:rFonts w:ascii="Arial" w:hAnsi="Arial"/>
          <w:b/>
          <w:sz w:val="20"/>
        </w:rPr>
        <w:t>Algeria</w:t>
      </w:r>
      <w:r w:rsidRPr="00736656">
        <w:rPr>
          <w:rFonts w:ascii="Arial" w:hAnsi="Arial"/>
          <w:sz w:val="20"/>
        </w:rPr>
        <w:t xml:space="preserve"> (</w:t>
      </w:r>
      <w:r w:rsidRPr="00736656">
        <w:rPr>
          <w:rFonts w:ascii="Arial" w:hAnsi="Arial"/>
          <w:b/>
          <w:sz w:val="20"/>
        </w:rPr>
        <w:t>B</w:t>
      </w:r>
      <w:r w:rsidRPr="00736656">
        <w:rPr>
          <w:rFonts w:ascii="Arial" w:hAnsi="Arial"/>
          <w:sz w:val="20"/>
        </w:rPr>
        <w:t xml:space="preserve">) and </w:t>
      </w:r>
      <w:r w:rsidRPr="00736656">
        <w:rPr>
          <w:rFonts w:ascii="Arial" w:hAnsi="Arial"/>
          <w:b/>
          <w:sz w:val="20"/>
        </w:rPr>
        <w:t>Gabon</w:t>
      </w:r>
      <w:r w:rsidRPr="00736656">
        <w:rPr>
          <w:rFonts w:ascii="Arial" w:hAnsi="Arial"/>
          <w:sz w:val="20"/>
        </w:rPr>
        <w:t xml:space="preserve"> (</w:t>
      </w:r>
      <w:r w:rsidRPr="00736656">
        <w:rPr>
          <w:rFonts w:ascii="Arial" w:hAnsi="Arial"/>
          <w:b/>
          <w:sz w:val="20"/>
        </w:rPr>
        <w:t>C</w:t>
      </w:r>
      <w:r w:rsidRPr="00736656">
        <w:rPr>
          <w:rFonts w:ascii="Arial" w:hAnsi="Arial"/>
          <w:sz w:val="20"/>
        </w:rPr>
        <w:t xml:space="preserve">), </w:t>
      </w:r>
      <w:r w:rsidR="00A35815">
        <w:rPr>
          <w:rFonts w:ascii="Arial" w:hAnsi="Arial"/>
          <w:sz w:val="20"/>
        </w:rPr>
        <w:t>due to</w:t>
      </w:r>
      <w:r w:rsidRPr="00736656">
        <w:rPr>
          <w:rFonts w:ascii="Arial" w:hAnsi="Arial"/>
          <w:sz w:val="20"/>
        </w:rPr>
        <w:t xml:space="preserve"> the low price of hydrocarbons</w:t>
      </w:r>
    </w:p>
    <w:p w:rsidR="003E582B" w:rsidRPr="00736656" w:rsidRDefault="003E582B" w:rsidP="001234BD">
      <w:pPr>
        <w:pStyle w:val="Pieddepage"/>
        <w:numPr>
          <w:ilvl w:val="0"/>
          <w:numId w:val="25"/>
        </w:numPr>
        <w:spacing w:line="270" w:lineRule="exact"/>
        <w:jc w:val="both"/>
        <w:rPr>
          <w:rFonts w:ascii="Arial" w:hAnsi="Arial" w:cs="Arial"/>
          <w:bCs/>
          <w:sz w:val="20"/>
          <w:szCs w:val="20"/>
        </w:rPr>
      </w:pPr>
      <w:r w:rsidRPr="00736656">
        <w:rPr>
          <w:rFonts w:ascii="Arial" w:hAnsi="Arial"/>
          <w:b/>
          <w:sz w:val="20"/>
        </w:rPr>
        <w:t>South Africa</w:t>
      </w:r>
      <w:r w:rsidRPr="00736656">
        <w:rPr>
          <w:rFonts w:ascii="Arial" w:hAnsi="Arial"/>
          <w:sz w:val="20"/>
        </w:rPr>
        <w:t xml:space="preserve"> (</w:t>
      </w:r>
      <w:r w:rsidRPr="00736656">
        <w:rPr>
          <w:rFonts w:ascii="Arial" w:hAnsi="Arial"/>
          <w:b/>
          <w:sz w:val="20"/>
        </w:rPr>
        <w:t>B</w:t>
      </w:r>
      <w:r w:rsidRPr="00736656">
        <w:rPr>
          <w:rFonts w:ascii="Arial" w:hAnsi="Arial"/>
          <w:sz w:val="20"/>
        </w:rPr>
        <w:t>), negatively affected by sluggish growth and growing social tensions</w:t>
      </w:r>
    </w:p>
    <w:p w:rsidR="003E582B" w:rsidRPr="00736656" w:rsidRDefault="003E582B" w:rsidP="001234BD">
      <w:pPr>
        <w:pStyle w:val="Pieddepage"/>
        <w:numPr>
          <w:ilvl w:val="0"/>
          <w:numId w:val="25"/>
        </w:numPr>
        <w:spacing w:line="270" w:lineRule="exact"/>
        <w:jc w:val="both"/>
        <w:rPr>
          <w:rFonts w:ascii="Arial" w:hAnsi="Arial" w:cs="Arial"/>
          <w:bCs/>
          <w:sz w:val="20"/>
          <w:szCs w:val="20"/>
        </w:rPr>
      </w:pPr>
      <w:r w:rsidRPr="00736656">
        <w:rPr>
          <w:rFonts w:ascii="Arial" w:hAnsi="Arial"/>
          <w:b/>
          <w:sz w:val="20"/>
        </w:rPr>
        <w:t>Tanzania</w:t>
      </w:r>
      <w:r w:rsidRPr="00736656">
        <w:rPr>
          <w:rFonts w:ascii="Arial" w:hAnsi="Arial"/>
          <w:sz w:val="20"/>
        </w:rPr>
        <w:t xml:space="preserve"> (</w:t>
      </w:r>
      <w:r w:rsidRPr="00EA26EF">
        <w:rPr>
          <w:rFonts w:ascii="Arial" w:hAnsi="Arial"/>
          <w:b/>
          <w:sz w:val="20"/>
        </w:rPr>
        <w:t>C</w:t>
      </w:r>
      <w:r w:rsidRPr="00736656">
        <w:rPr>
          <w:rFonts w:ascii="Arial" w:hAnsi="Arial"/>
          <w:sz w:val="20"/>
        </w:rPr>
        <w:t xml:space="preserve">) and </w:t>
      </w:r>
      <w:r w:rsidRPr="00736656">
        <w:rPr>
          <w:rFonts w:ascii="Arial" w:hAnsi="Arial"/>
          <w:b/>
          <w:sz w:val="20"/>
        </w:rPr>
        <w:t>Madagascar</w:t>
      </w:r>
      <w:r w:rsidRPr="00736656">
        <w:rPr>
          <w:rFonts w:ascii="Arial" w:hAnsi="Arial"/>
          <w:sz w:val="20"/>
        </w:rPr>
        <w:t xml:space="preserve"> (</w:t>
      </w:r>
      <w:r w:rsidRPr="00736656">
        <w:rPr>
          <w:rFonts w:ascii="Arial" w:hAnsi="Arial"/>
          <w:b/>
          <w:sz w:val="20"/>
        </w:rPr>
        <w:t>D</w:t>
      </w:r>
      <w:r w:rsidRPr="00736656">
        <w:rPr>
          <w:rFonts w:ascii="Arial" w:hAnsi="Arial"/>
          <w:sz w:val="20"/>
        </w:rPr>
        <w:t>), wh</w:t>
      </w:r>
      <w:r w:rsidR="00A35815">
        <w:rPr>
          <w:rFonts w:ascii="Arial" w:hAnsi="Arial"/>
          <w:sz w:val="20"/>
        </w:rPr>
        <w:t>ere</w:t>
      </w:r>
      <w:r w:rsidRPr="00736656">
        <w:rPr>
          <w:rFonts w:ascii="Arial" w:hAnsi="Arial"/>
          <w:sz w:val="20"/>
        </w:rPr>
        <w:t xml:space="preserve"> growth is constrained by political uncertainties</w:t>
      </w:r>
    </w:p>
    <w:p w:rsidR="00093894" w:rsidRPr="00736656" w:rsidRDefault="00093894" w:rsidP="00B145A4">
      <w:pPr>
        <w:rPr>
          <w:rFonts w:ascii="Arial" w:hAnsi="Arial"/>
        </w:rPr>
      </w:pPr>
    </w:p>
    <w:tbl>
      <w:tblPr>
        <w:tblpPr w:leftFromText="141" w:rightFromText="141" w:vertAnchor="text" w:horzAnchor="margin" w:tblpY="58"/>
        <w:tblW w:w="8535" w:type="dxa"/>
        <w:tblLayout w:type="fixed"/>
        <w:tblCellMar>
          <w:left w:w="0" w:type="dxa"/>
          <w:right w:w="0" w:type="dxa"/>
        </w:tblCellMar>
        <w:tblLook w:val="00A0" w:firstRow="1" w:lastRow="0" w:firstColumn="1" w:lastColumn="0" w:noHBand="0" w:noVBand="0"/>
      </w:tblPr>
      <w:tblGrid>
        <w:gridCol w:w="8535"/>
      </w:tblGrid>
      <w:tr w:rsidR="00DD381F" w:rsidRPr="00640960" w:rsidTr="00D40F0C">
        <w:trPr>
          <w:trHeight w:val="220"/>
        </w:trPr>
        <w:tc>
          <w:tcPr>
            <w:tcW w:w="8535" w:type="dxa"/>
            <w:shd w:val="clear" w:color="auto" w:fill="E9EDF4"/>
          </w:tcPr>
          <w:p w:rsidR="00DD381F" w:rsidRPr="00640960" w:rsidRDefault="00DD381F" w:rsidP="00D40F0C">
            <w:pPr>
              <w:spacing w:before="60" w:after="60" w:line="220" w:lineRule="atLeast"/>
              <w:ind w:left="113" w:right="113"/>
              <w:jc w:val="both"/>
              <w:rPr>
                <w:rFonts w:ascii="Arial" w:hAnsi="Arial" w:cs="Arial"/>
                <w:b/>
                <w:sz w:val="18"/>
                <w:szCs w:val="20"/>
                <w:lang w:val="en-US"/>
              </w:rPr>
            </w:pPr>
            <w:r w:rsidRPr="00640960">
              <w:rPr>
                <w:rFonts w:ascii="Arial" w:hAnsi="Arial" w:cs="Arial"/>
                <w:b/>
                <w:sz w:val="18"/>
                <w:szCs w:val="20"/>
                <w:lang w:val="en-US"/>
              </w:rPr>
              <w:t xml:space="preserve">About </w:t>
            </w:r>
            <w:proofErr w:type="spellStart"/>
            <w:r w:rsidRPr="00640960">
              <w:rPr>
                <w:rFonts w:ascii="Arial" w:hAnsi="Arial" w:cs="Arial"/>
                <w:b/>
                <w:sz w:val="18"/>
                <w:szCs w:val="20"/>
                <w:lang w:val="en-US"/>
              </w:rPr>
              <w:t>Coface</w:t>
            </w:r>
            <w:proofErr w:type="spellEnd"/>
          </w:p>
          <w:p w:rsidR="00DD381F" w:rsidRPr="00640960" w:rsidRDefault="00DD381F" w:rsidP="00D40F0C">
            <w:pPr>
              <w:spacing w:line="240" w:lineRule="atLeast"/>
              <w:ind w:left="142" w:right="141"/>
              <w:jc w:val="both"/>
              <w:rPr>
                <w:rFonts w:ascii="Arial" w:hAnsi="Arial" w:cs="Arial"/>
                <w:sz w:val="18"/>
                <w:szCs w:val="20"/>
              </w:rPr>
            </w:pPr>
            <w:r w:rsidRPr="00640960">
              <w:rPr>
                <w:rFonts w:ascii="Arial" w:hAnsi="Arial" w:cs="Arial"/>
                <w:sz w:val="18"/>
                <w:szCs w:val="20"/>
              </w:rPr>
              <w:t xml:space="preserve">The </w:t>
            </w:r>
            <w:proofErr w:type="spellStart"/>
            <w:r w:rsidRPr="00640960">
              <w:rPr>
                <w:rFonts w:ascii="Arial" w:hAnsi="Arial" w:cs="Arial"/>
                <w:sz w:val="18"/>
                <w:szCs w:val="20"/>
              </w:rPr>
              <w:t>Coface</w:t>
            </w:r>
            <w:proofErr w:type="spellEnd"/>
            <w:r w:rsidRPr="00640960">
              <w:rPr>
                <w:rFonts w:ascii="Arial" w:hAnsi="Arial" w:cs="Arial"/>
                <w:sz w:val="18"/>
                <w:szCs w:val="20"/>
              </w:rPr>
              <w:t xml:space="preserve"> Group, a worldwide leader in credit insurance, offers companies around the globe solutions to protect them against the risk of financial default of their clients, both on the domestic market and for export. In 2014, the Group, supported by its 4,440 staff, posted a consolidated turnover of €1.441 billion. Pres</w:t>
            </w:r>
            <w:r>
              <w:rPr>
                <w:rFonts w:ascii="Arial" w:hAnsi="Arial" w:cs="Arial"/>
                <w:sz w:val="18"/>
                <w:szCs w:val="20"/>
              </w:rPr>
              <w:t>ent directly or indirectly in 99</w:t>
            </w:r>
            <w:r w:rsidRPr="00640960">
              <w:rPr>
                <w:rFonts w:ascii="Arial" w:hAnsi="Arial" w:cs="Arial"/>
                <w:sz w:val="18"/>
                <w:szCs w:val="20"/>
              </w:rPr>
              <w:t xml:space="preserve"> countries, it secures transactions of over </w:t>
            </w:r>
            <w:r>
              <w:rPr>
                <w:rFonts w:ascii="Arial" w:hAnsi="Arial" w:cs="Arial"/>
                <w:sz w:val="18"/>
                <w:szCs w:val="20"/>
              </w:rPr>
              <w:t>40,000</w:t>
            </w:r>
            <w:r w:rsidRPr="00640960">
              <w:rPr>
                <w:rFonts w:ascii="Arial" w:hAnsi="Arial" w:cs="Arial"/>
                <w:sz w:val="18"/>
                <w:szCs w:val="20"/>
              </w:rPr>
              <w:t xml:space="preserve"> companies in more than 200 countries. Each quarter, </w:t>
            </w:r>
            <w:proofErr w:type="spellStart"/>
            <w:r w:rsidRPr="00640960">
              <w:rPr>
                <w:rFonts w:ascii="Arial" w:hAnsi="Arial" w:cs="Arial"/>
                <w:sz w:val="18"/>
                <w:szCs w:val="20"/>
              </w:rPr>
              <w:t>Coface</w:t>
            </w:r>
            <w:proofErr w:type="spellEnd"/>
            <w:r w:rsidRPr="00640960">
              <w:rPr>
                <w:rFonts w:ascii="Arial" w:hAnsi="Arial" w:cs="Arial"/>
                <w:sz w:val="18"/>
                <w:szCs w:val="20"/>
              </w:rPr>
              <w:t xml:space="preserve"> publishes its assessments of country risk for 160 countries, based on its unique knowledge of companies’ payment behaviour and on the expertise of its 350 underwriters located close to clients and their debtors.</w:t>
            </w:r>
          </w:p>
          <w:p w:rsidR="00DD381F" w:rsidRPr="00640960" w:rsidRDefault="00DD381F" w:rsidP="00D40F0C">
            <w:pPr>
              <w:spacing w:line="240" w:lineRule="atLeast"/>
              <w:ind w:left="142" w:right="141"/>
              <w:jc w:val="both"/>
              <w:rPr>
                <w:rFonts w:ascii="Arial" w:hAnsi="Arial" w:cs="Arial"/>
                <w:sz w:val="18"/>
                <w:szCs w:val="22"/>
              </w:rPr>
            </w:pPr>
            <w:r w:rsidRPr="00640960">
              <w:rPr>
                <w:rFonts w:ascii="Arial" w:hAnsi="Arial" w:cs="Arial"/>
                <w:sz w:val="18"/>
                <w:szCs w:val="22"/>
              </w:rPr>
              <w:t xml:space="preserve">In France, </w:t>
            </w:r>
            <w:proofErr w:type="spellStart"/>
            <w:r w:rsidRPr="00640960">
              <w:rPr>
                <w:rFonts w:ascii="Arial" w:hAnsi="Arial" w:cs="Arial"/>
                <w:sz w:val="18"/>
                <w:szCs w:val="22"/>
              </w:rPr>
              <w:t>Coface</w:t>
            </w:r>
            <w:proofErr w:type="spellEnd"/>
            <w:r w:rsidRPr="00640960">
              <w:rPr>
                <w:rFonts w:ascii="Arial" w:hAnsi="Arial" w:cs="Arial"/>
                <w:sz w:val="18"/>
                <w:szCs w:val="22"/>
              </w:rPr>
              <w:t xml:space="preserve"> manages export public guarantees on behalf of the French State.</w:t>
            </w:r>
          </w:p>
          <w:p w:rsidR="00EA26EF" w:rsidRPr="00E522CE" w:rsidRDefault="00DD381F" w:rsidP="00EA26EF">
            <w:pPr>
              <w:spacing w:after="60"/>
              <w:ind w:right="113"/>
              <w:jc w:val="center"/>
              <w:rPr>
                <w:rFonts w:ascii="Arial" w:hAnsi="Arial" w:cs="Arial"/>
                <w:sz w:val="18"/>
                <w:szCs w:val="20"/>
                <w:lang w:val="fr-FR"/>
              </w:rPr>
            </w:pPr>
            <w:r w:rsidRPr="00EA26EF">
              <w:rPr>
                <w:rFonts w:ascii="Arial" w:hAnsi="Arial" w:cs="Arial"/>
                <w:noProof/>
                <w:sz w:val="18"/>
                <w:szCs w:val="20"/>
                <w:lang w:val="fr-FR" w:eastAsia="fr-FR" w:bidi="ar-SA"/>
              </w:rPr>
              <w:drawing>
                <wp:anchor distT="0" distB="0" distL="114300" distR="114300" simplePos="0" relativeHeight="251661312" behindDoc="0" locked="0" layoutInCell="1" allowOverlap="1" wp14:anchorId="0F6F2C2E" wp14:editId="36FE990F">
                  <wp:simplePos x="0" y="0"/>
                  <wp:positionH relativeFrom="column">
                    <wp:posOffset>4621530</wp:posOffset>
                  </wp:positionH>
                  <wp:positionV relativeFrom="paragraph">
                    <wp:posOffset>122555</wp:posOffset>
                  </wp:positionV>
                  <wp:extent cx="519430" cy="514350"/>
                  <wp:effectExtent l="0" t="0" r="0" b="0"/>
                  <wp:wrapNone/>
                  <wp:docPr id="11" name="Image 5"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E522CE">
                <w:rPr>
                  <w:rFonts w:ascii="Arial" w:hAnsi="Arial" w:cs="Arial"/>
                  <w:sz w:val="18"/>
                  <w:szCs w:val="20"/>
                  <w:lang w:val="fr-FR"/>
                </w:rPr>
                <w:t>www.coface.com</w:t>
              </w:r>
            </w:hyperlink>
          </w:p>
          <w:p w:rsidR="00DD381F" w:rsidRPr="00922347" w:rsidRDefault="00DD381F" w:rsidP="00D40F0C">
            <w:pPr>
              <w:spacing w:line="240" w:lineRule="atLeast"/>
              <w:ind w:left="101" w:right="141"/>
              <w:jc w:val="both"/>
              <w:rPr>
                <w:rFonts w:ascii="Arial" w:hAnsi="Arial" w:cs="Arial"/>
                <w:sz w:val="18"/>
                <w:szCs w:val="20"/>
                <w:lang w:val="fr-FR"/>
              </w:rPr>
            </w:pPr>
          </w:p>
          <w:p w:rsidR="00DD381F" w:rsidRPr="00640960" w:rsidRDefault="00DD381F" w:rsidP="00D40F0C">
            <w:pPr>
              <w:tabs>
                <w:tab w:val="left" w:pos="8202"/>
              </w:tabs>
              <w:autoSpaceDE w:val="0"/>
              <w:autoSpaceDN w:val="0"/>
              <w:adjustRightInd w:val="0"/>
              <w:spacing w:line="240" w:lineRule="atLeast"/>
              <w:ind w:left="348" w:right="1587"/>
              <w:jc w:val="right"/>
              <w:rPr>
                <w:rFonts w:ascii="Arial" w:hAnsi="Arial" w:cs="Arial"/>
                <w:sz w:val="18"/>
                <w:szCs w:val="20"/>
                <w:lang w:val="en-US"/>
              </w:rPr>
            </w:pPr>
            <w:r w:rsidRPr="00922347">
              <w:rPr>
                <w:rFonts w:ascii="Arial" w:hAnsi="Arial" w:cs="Arial"/>
                <w:sz w:val="18"/>
                <w:szCs w:val="20"/>
                <w:lang w:val="fr-FR"/>
              </w:rPr>
              <w:t xml:space="preserve">Coface SA.  </w:t>
            </w:r>
            <w:r w:rsidRPr="00640960">
              <w:rPr>
                <w:rFonts w:ascii="Arial" w:hAnsi="Arial" w:cs="Arial"/>
                <w:sz w:val="18"/>
                <w:szCs w:val="20"/>
                <w:lang w:val="en-US"/>
              </w:rPr>
              <w:t xml:space="preserve">is </w:t>
            </w:r>
            <w:r w:rsidRPr="00640960">
              <w:rPr>
                <w:rFonts w:ascii="Arial" w:hAnsi="Arial" w:cs="Arial"/>
                <w:sz w:val="18"/>
                <w:szCs w:val="20"/>
              </w:rPr>
              <w:t>listed on Euronext Paris – Compartment A</w:t>
            </w:r>
            <w:r w:rsidRPr="00640960">
              <w:rPr>
                <w:noProof/>
                <w:szCs w:val="28"/>
                <w:lang w:val="en-US"/>
              </w:rPr>
              <w:t xml:space="preserve"> </w:t>
            </w:r>
            <w:r>
              <w:rPr>
                <w:noProof/>
                <w:lang w:val="fr-FR" w:eastAsia="fr-FR" w:bidi="ar-SA"/>
              </w:rPr>
              <w:drawing>
                <wp:anchor distT="0" distB="0" distL="114300" distR="114300" simplePos="0" relativeHeight="251660288" behindDoc="0" locked="0" layoutInCell="1" allowOverlap="1" wp14:anchorId="4040223D" wp14:editId="776E50BA">
                  <wp:simplePos x="0" y="0"/>
                  <wp:positionH relativeFrom="column">
                    <wp:posOffset>6392545</wp:posOffset>
                  </wp:positionH>
                  <wp:positionV relativeFrom="paragraph">
                    <wp:posOffset>4538345</wp:posOffset>
                  </wp:positionV>
                  <wp:extent cx="520065" cy="514350"/>
                  <wp:effectExtent l="0" t="0" r="0" b="0"/>
                  <wp:wrapNone/>
                  <wp:docPr id="6"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81F" w:rsidRPr="00640960" w:rsidRDefault="00DD381F" w:rsidP="00D40F0C">
            <w:pPr>
              <w:autoSpaceDE w:val="0"/>
              <w:autoSpaceDN w:val="0"/>
              <w:adjustRightInd w:val="0"/>
              <w:spacing w:line="240" w:lineRule="atLeast"/>
              <w:ind w:right="1587"/>
              <w:jc w:val="right"/>
              <w:rPr>
                <w:rFonts w:ascii="Arial" w:hAnsi="Arial" w:cs="Arial"/>
                <w:sz w:val="18"/>
                <w:szCs w:val="20"/>
              </w:rPr>
            </w:pPr>
            <w:r w:rsidRPr="00640960">
              <w:rPr>
                <w:rFonts w:ascii="Arial" w:hAnsi="Arial" w:cs="Arial"/>
                <w:sz w:val="18"/>
                <w:szCs w:val="20"/>
              </w:rPr>
              <w:t>ISIN: FR0010667147 / Ticker: COFA</w:t>
            </w:r>
          </w:p>
          <w:p w:rsidR="00DD381F" w:rsidRPr="00640960" w:rsidRDefault="00DD381F" w:rsidP="00D40F0C">
            <w:pPr>
              <w:autoSpaceDE w:val="0"/>
              <w:autoSpaceDN w:val="0"/>
              <w:adjustRightInd w:val="0"/>
              <w:spacing w:line="240" w:lineRule="atLeast"/>
              <w:ind w:right="1587"/>
              <w:jc w:val="right"/>
              <w:rPr>
                <w:rFonts w:ascii="Arial" w:hAnsi="Arial" w:cs="Arial"/>
                <w:sz w:val="20"/>
                <w:szCs w:val="20"/>
              </w:rPr>
            </w:pPr>
          </w:p>
          <w:p w:rsidR="00DD381F" w:rsidRPr="00640960" w:rsidRDefault="00DD381F" w:rsidP="00D40F0C">
            <w:pPr>
              <w:spacing w:before="60" w:after="60"/>
              <w:ind w:right="113"/>
              <w:jc w:val="center"/>
              <w:rPr>
                <w:rFonts w:ascii="Arial" w:hAnsi="Arial" w:cs="Arial"/>
                <w:sz w:val="20"/>
                <w:szCs w:val="20"/>
                <w:u w:val="single"/>
              </w:rPr>
            </w:pPr>
          </w:p>
        </w:tc>
      </w:tr>
    </w:tbl>
    <w:p w:rsidR="00DD381F" w:rsidRDefault="00DD381F" w:rsidP="00DD381F">
      <w:pPr>
        <w:spacing w:line="240" w:lineRule="exact"/>
        <w:rPr>
          <w:rFonts w:ascii="Arial" w:hAnsi="Arial" w:cs="Arial"/>
          <w:b/>
          <w:bCs/>
          <w:color w:val="000000"/>
          <w:sz w:val="20"/>
          <w:szCs w:val="20"/>
        </w:rPr>
      </w:pPr>
    </w:p>
    <w:p w:rsidR="00363CAC" w:rsidRPr="00736656" w:rsidRDefault="00363CAC" w:rsidP="00B145A4">
      <w:pPr>
        <w:rPr>
          <w:rFonts w:ascii="Arial" w:hAnsi="Arial"/>
        </w:rPr>
      </w:pPr>
    </w:p>
    <w:p w:rsidR="00A864C2" w:rsidRPr="00736656" w:rsidRDefault="00A864C2" w:rsidP="00363CAC">
      <w:pPr>
        <w:jc w:val="center"/>
        <w:rPr>
          <w:rFonts w:ascii="Arial" w:hAnsi="Arial"/>
        </w:rPr>
      </w:pPr>
    </w:p>
    <w:p w:rsidR="00A864C2" w:rsidRPr="00736656" w:rsidRDefault="00A864C2">
      <w:pPr>
        <w:rPr>
          <w:rFonts w:ascii="Arial" w:hAnsi="Arial"/>
        </w:rPr>
      </w:pPr>
      <w:r w:rsidRPr="00736656">
        <w:br w:type="page"/>
      </w:r>
    </w:p>
    <w:p w:rsidR="00A864C2" w:rsidRPr="00736656" w:rsidRDefault="00A864C2" w:rsidP="00A864C2">
      <w:pPr>
        <w:pStyle w:val="Body1"/>
        <w:spacing w:line="270" w:lineRule="exact"/>
        <w:jc w:val="center"/>
        <w:rPr>
          <w:rFonts w:ascii="Arial" w:hAnsi="Arial"/>
          <w:b/>
          <w:color w:val="1F497D"/>
          <w:sz w:val="28"/>
          <w:szCs w:val="28"/>
        </w:rPr>
      </w:pPr>
      <w:r w:rsidRPr="00736656">
        <w:rPr>
          <w:rFonts w:ascii="Arial" w:hAnsi="Arial"/>
          <w:b/>
          <w:color w:val="1F497D"/>
          <w:sz w:val="28"/>
        </w:rPr>
        <w:t>APPENDIX</w:t>
      </w:r>
    </w:p>
    <w:p w:rsidR="00A864C2" w:rsidRPr="00736656" w:rsidRDefault="00A864C2" w:rsidP="00363CAC">
      <w:pPr>
        <w:jc w:val="center"/>
        <w:rPr>
          <w:rFonts w:ascii="Arial" w:hAnsi="Arial"/>
        </w:rPr>
      </w:pPr>
    </w:p>
    <w:p w:rsidR="00A864C2" w:rsidRPr="00736656" w:rsidRDefault="00A864C2" w:rsidP="00922347">
      <w:pPr>
        <w:rPr>
          <w:rFonts w:ascii="Arial" w:hAnsi="Arial"/>
        </w:rPr>
      </w:pPr>
    </w:p>
    <w:p w:rsidR="00A864C2" w:rsidRPr="001D21A0" w:rsidRDefault="00DD381F" w:rsidP="00363CAC">
      <w:pPr>
        <w:jc w:val="center"/>
        <w:rPr>
          <w:rFonts w:ascii="Arial" w:hAnsi="Arial"/>
        </w:rPr>
      </w:pPr>
      <w:r w:rsidRPr="00DD381F">
        <w:t xml:space="preserve"> </w:t>
      </w:r>
      <w:r>
        <w:rPr>
          <w:noProof/>
          <w:lang w:val="fr-FR" w:eastAsia="fr-FR" w:bidi="ar-SA"/>
        </w:rPr>
        <w:drawing>
          <wp:inline distT="0" distB="0" distL="0" distR="0" wp14:anchorId="177201C3" wp14:editId="0BBA4832">
            <wp:extent cx="5323840" cy="5087055"/>
            <wp:effectExtent l="0" t="0" r="0" b="0"/>
            <wp:docPr id="8" name="Image 8" descr="C:\Users\maria_krellenstein\AppData\Local\Microsoft\Windows\Temporary Internet Files\Content.Word\nvbhbc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_krellenstein\AppData\Local\Microsoft\Windows\Temporary Internet Files\Content.Word\nvbhbcv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5087055"/>
                    </a:xfrm>
                    <a:prstGeom prst="rect">
                      <a:avLst/>
                    </a:prstGeom>
                    <a:noFill/>
                    <a:ln>
                      <a:noFill/>
                    </a:ln>
                  </pic:spPr>
                </pic:pic>
              </a:graphicData>
            </a:graphic>
          </wp:inline>
        </w:drawing>
      </w:r>
    </w:p>
    <w:p w:rsidR="003134D1" w:rsidRPr="00736656" w:rsidRDefault="003134D1" w:rsidP="003134D1"/>
    <w:p w:rsidR="003134D1" w:rsidRPr="00736656" w:rsidRDefault="003134D1" w:rsidP="00363CAC">
      <w:pPr>
        <w:jc w:val="center"/>
        <w:rPr>
          <w:rFonts w:ascii="Arial" w:hAnsi="Arial"/>
        </w:rPr>
      </w:pPr>
    </w:p>
    <w:sectPr w:rsidR="003134D1" w:rsidRPr="00736656" w:rsidSect="006E5807">
      <w:headerReference w:type="default" r:id="rId12"/>
      <w:headerReference w:type="first" r:id="rId13"/>
      <w:footerReference w:type="first" r:id="rId14"/>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7D" w:rsidRDefault="00B97D7D" w:rsidP="00D67F85">
      <w:r>
        <w:separator/>
      </w:r>
    </w:p>
  </w:endnote>
  <w:endnote w:type="continuationSeparator" w:id="0">
    <w:p w:rsidR="00B97D7D" w:rsidRDefault="00B97D7D"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99" w:rsidRPr="000F6882" w:rsidRDefault="00035C99" w:rsidP="00422B4C">
    <w:pPr>
      <w:pStyle w:val="Pieddepage"/>
      <w:spacing w:line="180" w:lineRule="exact"/>
      <w:rPr>
        <w:color w:val="17274B"/>
        <w:sz w:val="14"/>
        <w:szCs w:val="14"/>
      </w:rPr>
    </w:pPr>
    <w:r>
      <w:rPr>
        <w:color w:val="17274B"/>
        <w:sz w:val="14"/>
        <w:szCs w:val="14"/>
      </w:rPr>
      <w:fldChar w:fldCharType="begin"/>
    </w:r>
    <w:r>
      <w:rPr>
        <w:color w:val="17274B"/>
        <w:sz w:val="14"/>
        <w:szCs w:val="14"/>
      </w:rPr>
      <w:instrText>MACROBUTTON Remplir POSTAL ADDRESS</w:instrText>
    </w:r>
    <w:r>
      <w:rPr>
        <w:color w:val="17274B"/>
        <w:sz w:val="14"/>
        <w:szCs w:val="14"/>
      </w:rPr>
      <w:fldChar w:fldCharType="end"/>
    </w:r>
  </w:p>
  <w:p w:rsidR="00035C99" w:rsidRPr="00922347" w:rsidRDefault="00035C99" w:rsidP="00422B4C">
    <w:pPr>
      <w:pStyle w:val="Pieddepage"/>
      <w:spacing w:line="180" w:lineRule="exact"/>
      <w:rPr>
        <w:color w:val="17274B"/>
        <w:sz w:val="14"/>
        <w:szCs w:val="14"/>
        <w:lang w:val="fr-FR"/>
      </w:rPr>
    </w:pPr>
    <w:r w:rsidRPr="00922347">
      <w:rPr>
        <w:color w:val="17274B"/>
        <w:sz w:val="14"/>
        <w:lang w:val="fr-FR"/>
      </w:rPr>
      <w:t>12 COURS MICHELET - LA DÉFENSE 10 - 92800 PUTEAUX - FRANCE</w:t>
    </w:r>
  </w:p>
  <w:p w:rsidR="00035C99" w:rsidRPr="00922347" w:rsidRDefault="00035C99" w:rsidP="00422B4C">
    <w:pPr>
      <w:pStyle w:val="Pieddepage"/>
      <w:spacing w:line="180" w:lineRule="exact"/>
      <w:rPr>
        <w:color w:val="17274B"/>
        <w:sz w:val="14"/>
        <w:szCs w:val="14"/>
        <w:lang w:val="fr-FR"/>
      </w:rPr>
    </w:pPr>
    <w:r w:rsidRPr="00922347">
      <w:rPr>
        <w:color w:val="17274B"/>
        <w:sz w:val="14"/>
        <w:lang w:val="fr-FR"/>
      </w:rPr>
      <w:t xml:space="preserve">T. </w:t>
    </w:r>
    <w:r>
      <w:rPr>
        <w:color w:val="17274B"/>
        <w:sz w:val="14"/>
        <w:szCs w:val="14"/>
      </w:rPr>
      <w:fldChar w:fldCharType="begin"/>
    </w:r>
    <w:r w:rsidRPr="00922347">
      <w:rPr>
        <w:color w:val="17274B"/>
        <w:sz w:val="14"/>
        <w:szCs w:val="14"/>
        <w:lang w:val="fr-FR"/>
      </w:rPr>
      <w:instrText>MACROBUTTON Remplir +33 (0)1 00 00 00 00</w:instrText>
    </w:r>
    <w:r>
      <w:rPr>
        <w:color w:val="17274B"/>
        <w:sz w:val="14"/>
        <w:szCs w:val="14"/>
      </w:rPr>
      <w:fldChar w:fldCharType="end"/>
    </w:r>
    <w:r w:rsidRPr="00922347">
      <w:rPr>
        <w:color w:val="17274B"/>
        <w:sz w:val="14"/>
        <w:lang w:val="fr-FR"/>
      </w:rPr>
      <w:t xml:space="preserve">- M. </w:t>
    </w:r>
    <w:r>
      <w:rPr>
        <w:color w:val="17274B"/>
        <w:sz w:val="14"/>
        <w:szCs w:val="14"/>
      </w:rPr>
      <w:fldChar w:fldCharType="begin"/>
    </w:r>
    <w:r w:rsidRPr="00922347">
      <w:rPr>
        <w:color w:val="17274B"/>
        <w:sz w:val="14"/>
        <w:szCs w:val="14"/>
        <w:lang w:val="fr-FR"/>
      </w:rPr>
      <w:instrText>MACROBUTTON Remplir +33 (0)6 00 00 00 00</w:instrText>
    </w:r>
    <w:r>
      <w:rPr>
        <w:color w:val="17274B"/>
        <w:sz w:val="14"/>
        <w:szCs w:val="14"/>
      </w:rPr>
      <w:fldChar w:fldCharType="end"/>
    </w:r>
    <w:r w:rsidRPr="00922347">
      <w:rPr>
        <w:color w:val="17274B"/>
        <w:sz w:val="14"/>
        <w:lang w:val="fr-FR"/>
      </w:rPr>
      <w:t xml:space="preserve"> - F. </w:t>
    </w:r>
    <w:r>
      <w:rPr>
        <w:color w:val="17274B"/>
        <w:sz w:val="14"/>
        <w:szCs w:val="14"/>
      </w:rPr>
      <w:fldChar w:fldCharType="begin"/>
    </w:r>
    <w:r w:rsidRPr="00922347">
      <w:rPr>
        <w:color w:val="17274B"/>
        <w:sz w:val="14"/>
        <w:szCs w:val="14"/>
        <w:lang w:val="fr-FR"/>
      </w:rPr>
      <w:instrText>MACROBUTTON Remplir +33 (0)1 00 00 00 00</w:instrText>
    </w:r>
    <w:r>
      <w:rPr>
        <w:color w:val="17274B"/>
        <w:sz w:val="14"/>
        <w:szCs w:val="14"/>
      </w:rPr>
      <w:fldChar w:fldCharType="end"/>
    </w:r>
  </w:p>
  <w:p w:rsidR="00035C99" w:rsidRPr="00922347" w:rsidRDefault="00035C99" w:rsidP="00422B4C">
    <w:pPr>
      <w:pStyle w:val="Pieddepage"/>
      <w:spacing w:line="180" w:lineRule="exact"/>
      <w:rPr>
        <w:color w:val="17274B"/>
        <w:sz w:val="14"/>
        <w:szCs w:val="14"/>
        <w:lang w:val="fr-FR"/>
      </w:rPr>
    </w:pPr>
    <w:r w:rsidRPr="00922347">
      <w:rPr>
        <w:color w:val="17274B"/>
        <w:sz w:val="14"/>
        <w:lang w:val="fr-FR"/>
      </w:rPr>
      <w:t>www.coface.com</w:t>
    </w:r>
  </w:p>
  <w:p w:rsidR="00035C99" w:rsidRPr="00922347" w:rsidRDefault="00035C99" w:rsidP="00422B4C">
    <w:pPr>
      <w:pStyle w:val="Pieddepage"/>
      <w:spacing w:line="180" w:lineRule="exact"/>
      <w:rPr>
        <w:color w:val="17274B"/>
        <w:sz w:val="12"/>
        <w:szCs w:val="12"/>
        <w:lang w:val="fr-FR"/>
      </w:rPr>
    </w:pPr>
    <w:r w:rsidRPr="00922347">
      <w:rPr>
        <w:color w:val="17274B"/>
        <w:sz w:val="12"/>
        <w:lang w:val="fr-FR"/>
      </w:rPr>
      <w:t xml:space="preserve">COMPAGNIE FRANÇAISE D’ASSURANCE POUR LE COMMERCE EXTÉRIEUR (French insurance company for external trade). </w:t>
    </w:r>
  </w:p>
  <w:p w:rsidR="00035C99" w:rsidRPr="000F6882" w:rsidRDefault="00035C99" w:rsidP="000F6882">
    <w:pPr>
      <w:pStyle w:val="Pieddepage"/>
      <w:spacing w:line="180" w:lineRule="exact"/>
      <w:rPr>
        <w:color w:val="17274B"/>
        <w:sz w:val="12"/>
        <w:szCs w:val="12"/>
      </w:rPr>
    </w:pPr>
    <w:r>
      <w:rPr>
        <w:color w:val="17274B"/>
        <w:sz w:val="12"/>
      </w:rPr>
      <w:t>A PUBLIC LIMITED COMPANY (S.A.) WITH A CAPITAL OF 136,950,607.80 EUROS - NANTERRE TRADE AND COMPANIES REGISTER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7D" w:rsidRDefault="00B97D7D" w:rsidP="00D67F85">
      <w:r>
        <w:separator/>
      </w:r>
    </w:p>
  </w:footnote>
  <w:footnote w:type="continuationSeparator" w:id="0">
    <w:p w:rsidR="00B97D7D" w:rsidRDefault="00B97D7D" w:rsidP="00D67F85">
      <w:r>
        <w:continuationSeparator/>
      </w:r>
    </w:p>
  </w:footnote>
  <w:footnote w:id="1">
    <w:p w:rsidR="00C149A2" w:rsidRDefault="00C149A2" w:rsidP="005F3D28">
      <w:pPr>
        <w:pStyle w:val="Notedebasdepage"/>
        <w:jc w:val="both"/>
      </w:pPr>
      <w:r>
        <w:rPr>
          <w:rStyle w:val="Appelnotedebasdep"/>
        </w:rPr>
        <w:footnoteRef/>
      </w:r>
      <w:r>
        <w:t xml:space="preserve"> </w:t>
      </w:r>
      <w:r>
        <w:rPr>
          <w:rFonts w:ascii="Arial" w:hAnsi="Arial"/>
          <w:sz w:val="16"/>
        </w:rPr>
        <w:t xml:space="preserve">Coface’s political risk index combines two types of indicators: pressures </w:t>
      </w:r>
      <w:r w:rsidR="009849FA">
        <w:rPr>
          <w:rFonts w:ascii="Arial" w:hAnsi="Arial"/>
          <w:sz w:val="16"/>
        </w:rPr>
        <w:t>from</w:t>
      </w:r>
      <w:r>
        <w:rPr>
          <w:rFonts w:ascii="Arial" w:hAnsi="Arial"/>
          <w:sz w:val="16"/>
        </w:rPr>
        <w:t xml:space="preserve"> changes (inflation, unemployment, corruption control, etc.) which measure the intensity of socio-political frustrations in a given country and instruments of change (education, social networks, proportion of youth, role of women, etc.), which capture the ability of these </w:t>
      </w:r>
      <w:r w:rsidR="009849FA">
        <w:rPr>
          <w:rFonts w:ascii="Arial" w:hAnsi="Arial"/>
          <w:sz w:val="16"/>
        </w:rPr>
        <w:t>societies</w:t>
      </w:r>
      <w:r>
        <w:rPr>
          <w:rFonts w:ascii="Arial" w:hAnsi="Arial"/>
          <w:sz w:val="16"/>
        </w:rPr>
        <w:t xml:space="preserve"> to transform frustrations into political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99" w:rsidRDefault="00DD381F">
    <w:pPr>
      <w:pStyle w:val="En-tte"/>
    </w:pPr>
    <w:r>
      <w:rPr>
        <w:rFonts w:ascii="Times New Roman" w:hAnsi="Times New Roman"/>
        <w:noProof/>
        <w:lang w:val="fr-FR" w:eastAsia="fr-FR" w:bidi="ar-SA"/>
      </w:rPr>
      <mc:AlternateContent>
        <mc:Choice Requires="wps">
          <w:drawing>
            <wp:anchor distT="0" distB="0" distL="114935" distR="114935" simplePos="0" relativeHeight="251661312" behindDoc="1" locked="0" layoutInCell="1" allowOverlap="1" wp14:anchorId="2F99DB4D" wp14:editId="3C7EDE35">
              <wp:simplePos x="0" y="0"/>
              <wp:positionH relativeFrom="column">
                <wp:posOffset>45720</wp:posOffset>
              </wp:positionH>
              <wp:positionV relativeFrom="page">
                <wp:posOffset>1604645</wp:posOffset>
              </wp:positionV>
              <wp:extent cx="5755005" cy="3302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81F" w:rsidRDefault="00DD381F" w:rsidP="00DD381F">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6pt;margin-top:126.35pt;width:453.15pt;height:2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" stroked="f">
              <v:fill opacity="0"/>
              <v:textbox inset="0,0,0,0">
                <w:txbxContent>
                  <w:p w:rsidR="00DD381F" w:rsidRDefault="00DD381F" w:rsidP="00DD381F">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035C99">
      <w:rPr>
        <w:noProof/>
        <w:lang w:val="fr-FR" w:eastAsia="fr-FR" w:bidi="ar-SA"/>
      </w:rPr>
      <w:drawing>
        <wp:anchor distT="0" distB="0" distL="114300" distR="114300" simplePos="0" relativeHeight="251655168" behindDoc="1" locked="0" layoutInCell="1" allowOverlap="1" wp14:anchorId="68475415" wp14:editId="1371869E">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035C99">
      <w:rPr>
        <w:noProof/>
        <w:lang w:val="fr-FR" w:eastAsia="fr-FR" w:bidi="ar-SA"/>
      </w:rPr>
      <mc:AlternateContent>
        <mc:Choice Requires="wps">
          <w:drawing>
            <wp:anchor distT="4294967291" distB="4294967291" distL="114300" distR="114300" simplePos="0" relativeHeight="251656192" behindDoc="0" locked="0" layoutInCell="1" allowOverlap="1" wp14:anchorId="77B57EDC" wp14:editId="08D0A4F4">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99" w:rsidRDefault="00035C99">
    <w:pPr>
      <w:pStyle w:val="En-tte"/>
    </w:pPr>
    <w:r>
      <w:rPr>
        <w:noProof/>
        <w:lang w:val="fr-FR" w:eastAsia="fr-FR" w:bidi="ar-SA"/>
      </w:rPr>
      <w:drawing>
        <wp:anchor distT="0" distB="0" distL="114300" distR="114300" simplePos="0" relativeHeight="251658240" behindDoc="1" locked="0" layoutInCell="1" allowOverlap="1" wp14:anchorId="654717FC" wp14:editId="73700B0A">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bidi="ar-SA"/>
      </w:rPr>
      <mc:AlternateContent>
        <mc:Choice Requires="wps">
          <w:drawing>
            <wp:anchor distT="4294967291" distB="4294967291" distL="114300" distR="114300" simplePos="0" relativeHeight="251657216" behindDoc="0" locked="0" layoutInCell="1" allowOverlap="1" wp14:anchorId="2C647F70" wp14:editId="2679A875">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9"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333ACC"/>
    <w:multiLevelType w:val="hybridMultilevel"/>
    <w:tmpl w:val="CE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7127427"/>
    <w:multiLevelType w:val="hybridMultilevel"/>
    <w:tmpl w:val="8C147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5B0DA3"/>
    <w:multiLevelType w:val="hybridMultilevel"/>
    <w:tmpl w:val="A650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BD4547"/>
    <w:multiLevelType w:val="hybridMultilevel"/>
    <w:tmpl w:val="F0BAC306"/>
    <w:lvl w:ilvl="0" w:tplc="040C0001">
      <w:start w:val="1"/>
      <w:numFmt w:val="bullet"/>
      <w:lvlText w:val=""/>
      <w:lvlJc w:val="left"/>
      <w:pPr>
        <w:ind w:left="689" w:hanging="360"/>
      </w:pPr>
      <w:rPr>
        <w:rFonts w:ascii="Symbol" w:hAnsi="Symbol" w:hint="default"/>
      </w:rPr>
    </w:lvl>
    <w:lvl w:ilvl="1" w:tplc="040C0003">
      <w:start w:val="1"/>
      <w:numFmt w:val="bullet"/>
      <w:lvlText w:val="o"/>
      <w:lvlJc w:val="left"/>
      <w:pPr>
        <w:ind w:left="1409" w:hanging="360"/>
      </w:pPr>
      <w:rPr>
        <w:rFonts w:ascii="Courier New" w:hAnsi="Courier New" w:cs="Courier New" w:hint="default"/>
      </w:rPr>
    </w:lvl>
    <w:lvl w:ilvl="2" w:tplc="040C0005">
      <w:start w:val="1"/>
      <w:numFmt w:val="bullet"/>
      <w:lvlText w:val=""/>
      <w:lvlJc w:val="left"/>
      <w:pPr>
        <w:ind w:left="2129" w:hanging="360"/>
      </w:pPr>
      <w:rPr>
        <w:rFonts w:ascii="Wingdings" w:hAnsi="Wingdings" w:hint="default"/>
      </w:rPr>
    </w:lvl>
    <w:lvl w:ilvl="3" w:tplc="040C0001">
      <w:start w:val="1"/>
      <w:numFmt w:val="bullet"/>
      <w:lvlText w:val=""/>
      <w:lvlJc w:val="left"/>
      <w:pPr>
        <w:ind w:left="2849" w:hanging="360"/>
      </w:pPr>
      <w:rPr>
        <w:rFonts w:ascii="Symbol" w:hAnsi="Symbol" w:hint="default"/>
      </w:rPr>
    </w:lvl>
    <w:lvl w:ilvl="4" w:tplc="040C0003">
      <w:start w:val="1"/>
      <w:numFmt w:val="bullet"/>
      <w:lvlText w:val="o"/>
      <w:lvlJc w:val="left"/>
      <w:pPr>
        <w:ind w:left="3569" w:hanging="360"/>
      </w:pPr>
      <w:rPr>
        <w:rFonts w:ascii="Courier New" w:hAnsi="Courier New" w:cs="Courier New" w:hint="default"/>
      </w:rPr>
    </w:lvl>
    <w:lvl w:ilvl="5" w:tplc="040C0005">
      <w:start w:val="1"/>
      <w:numFmt w:val="bullet"/>
      <w:lvlText w:val=""/>
      <w:lvlJc w:val="left"/>
      <w:pPr>
        <w:ind w:left="4289" w:hanging="360"/>
      </w:pPr>
      <w:rPr>
        <w:rFonts w:ascii="Wingdings" w:hAnsi="Wingdings" w:hint="default"/>
      </w:rPr>
    </w:lvl>
    <w:lvl w:ilvl="6" w:tplc="040C0001">
      <w:start w:val="1"/>
      <w:numFmt w:val="bullet"/>
      <w:lvlText w:val=""/>
      <w:lvlJc w:val="left"/>
      <w:pPr>
        <w:ind w:left="5009" w:hanging="360"/>
      </w:pPr>
      <w:rPr>
        <w:rFonts w:ascii="Symbol" w:hAnsi="Symbol" w:hint="default"/>
      </w:rPr>
    </w:lvl>
    <w:lvl w:ilvl="7" w:tplc="040C0003">
      <w:start w:val="1"/>
      <w:numFmt w:val="bullet"/>
      <w:lvlText w:val="o"/>
      <w:lvlJc w:val="left"/>
      <w:pPr>
        <w:ind w:left="5729" w:hanging="360"/>
      </w:pPr>
      <w:rPr>
        <w:rFonts w:ascii="Courier New" w:hAnsi="Courier New" w:cs="Courier New" w:hint="default"/>
      </w:rPr>
    </w:lvl>
    <w:lvl w:ilvl="8" w:tplc="040C0005">
      <w:start w:val="1"/>
      <w:numFmt w:val="bullet"/>
      <w:lvlText w:val=""/>
      <w:lvlJc w:val="left"/>
      <w:pPr>
        <w:ind w:left="6449" w:hanging="360"/>
      </w:pPr>
      <w:rPr>
        <w:rFonts w:ascii="Wingdings" w:hAnsi="Wingdings" w:hint="default"/>
      </w:rPr>
    </w:lvl>
  </w:abstractNum>
  <w:abstractNum w:abstractNumId="8">
    <w:nsid w:val="0C653280"/>
    <w:multiLevelType w:val="hybridMultilevel"/>
    <w:tmpl w:val="26E454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3A60604"/>
    <w:multiLevelType w:val="hybridMultilevel"/>
    <w:tmpl w:val="76E001E8"/>
    <w:lvl w:ilvl="0" w:tplc="6AD4A5D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nsid w:val="20A103B7"/>
    <w:multiLevelType w:val="hybridMultilevel"/>
    <w:tmpl w:val="57EED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3B1691"/>
    <w:multiLevelType w:val="hybridMultilevel"/>
    <w:tmpl w:val="D74E5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A34C8E"/>
    <w:multiLevelType w:val="hybridMultilevel"/>
    <w:tmpl w:val="A2E25A06"/>
    <w:lvl w:ilvl="0" w:tplc="BEC066DC">
      <w:numFmt w:val="bullet"/>
      <w:lvlText w:val="-"/>
      <w:lvlJc w:val="left"/>
      <w:pPr>
        <w:tabs>
          <w:tab w:val="num" w:pos="720"/>
        </w:tabs>
        <w:ind w:left="720" w:hanging="360"/>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78520F"/>
    <w:multiLevelType w:val="hybridMultilevel"/>
    <w:tmpl w:val="9D6225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2C04D1"/>
    <w:multiLevelType w:val="hybridMultilevel"/>
    <w:tmpl w:val="E0C8D808"/>
    <w:lvl w:ilvl="0" w:tplc="5F1C1EA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D91A83"/>
    <w:multiLevelType w:val="hybridMultilevel"/>
    <w:tmpl w:val="46D0E854"/>
    <w:lvl w:ilvl="0" w:tplc="5D2E14C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2C30AE"/>
    <w:multiLevelType w:val="hybridMultilevel"/>
    <w:tmpl w:val="82AA333C"/>
    <w:lvl w:ilvl="0" w:tplc="E670E9A2">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F36BC8"/>
    <w:multiLevelType w:val="hybridMultilevel"/>
    <w:tmpl w:val="E0AE1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B03E82"/>
    <w:multiLevelType w:val="hybridMultilevel"/>
    <w:tmpl w:val="872AF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8"/>
  </w:num>
  <w:num w:numId="4">
    <w:abstractNumId w:val="0"/>
  </w:num>
  <w:num w:numId="5">
    <w:abstractNumId w:val="2"/>
  </w:num>
  <w:num w:numId="6">
    <w:abstractNumId w:val="21"/>
  </w:num>
  <w:num w:numId="7">
    <w:abstractNumId w:val="4"/>
  </w:num>
  <w:num w:numId="8">
    <w:abstractNumId w:val="13"/>
  </w:num>
  <w:num w:numId="9">
    <w:abstractNumId w:val="23"/>
  </w:num>
  <w:num w:numId="10">
    <w:abstractNumId w:val="5"/>
  </w:num>
  <w:num w:numId="11">
    <w:abstractNumId w:val="10"/>
  </w:num>
  <w:num w:numId="12">
    <w:abstractNumId w:val="6"/>
  </w:num>
  <w:num w:numId="13">
    <w:abstractNumId w:val="8"/>
  </w:num>
  <w:num w:numId="14">
    <w:abstractNumId w:val="20"/>
  </w:num>
  <w:num w:numId="15">
    <w:abstractNumId w:val="9"/>
  </w:num>
  <w:num w:numId="16">
    <w:abstractNumId w:val="12"/>
  </w:num>
  <w:num w:numId="17">
    <w:abstractNumId w:val="19"/>
  </w:num>
  <w:num w:numId="18">
    <w:abstractNumId w:val="3"/>
  </w:num>
  <w:num w:numId="19">
    <w:abstractNumId w:val="24"/>
  </w:num>
  <w:num w:numId="20">
    <w:abstractNumId w:val="9"/>
  </w:num>
  <w:num w:numId="21">
    <w:abstractNumId w:val="17"/>
  </w:num>
  <w:num w:numId="22">
    <w:abstractNumId w:val="15"/>
  </w:num>
  <w:num w:numId="23">
    <w:abstractNumId w:val="7"/>
  </w:num>
  <w:num w:numId="24">
    <w:abstractNumId w:val="1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1193F"/>
    <w:rsid w:val="00011A42"/>
    <w:rsid w:val="00011F76"/>
    <w:rsid w:val="00025611"/>
    <w:rsid w:val="0002713B"/>
    <w:rsid w:val="00030055"/>
    <w:rsid w:val="000344E5"/>
    <w:rsid w:val="000353A3"/>
    <w:rsid w:val="00035C99"/>
    <w:rsid w:val="00036274"/>
    <w:rsid w:val="00050C5C"/>
    <w:rsid w:val="00054F1F"/>
    <w:rsid w:val="0006213D"/>
    <w:rsid w:val="000649CE"/>
    <w:rsid w:val="00064ECD"/>
    <w:rsid w:val="00075009"/>
    <w:rsid w:val="00076CCE"/>
    <w:rsid w:val="00077616"/>
    <w:rsid w:val="00082804"/>
    <w:rsid w:val="00084CA5"/>
    <w:rsid w:val="00093894"/>
    <w:rsid w:val="000A5606"/>
    <w:rsid w:val="000B2783"/>
    <w:rsid w:val="000B327A"/>
    <w:rsid w:val="000B396C"/>
    <w:rsid w:val="000C21FD"/>
    <w:rsid w:val="000C4D45"/>
    <w:rsid w:val="000C57F3"/>
    <w:rsid w:val="000C6AB1"/>
    <w:rsid w:val="000D3989"/>
    <w:rsid w:val="000E19B2"/>
    <w:rsid w:val="000E26C3"/>
    <w:rsid w:val="000F27A4"/>
    <w:rsid w:val="000F5054"/>
    <w:rsid w:val="000F6882"/>
    <w:rsid w:val="00101202"/>
    <w:rsid w:val="0010376C"/>
    <w:rsid w:val="00104F03"/>
    <w:rsid w:val="0011039B"/>
    <w:rsid w:val="00117E8C"/>
    <w:rsid w:val="00121FCB"/>
    <w:rsid w:val="001234BD"/>
    <w:rsid w:val="00124007"/>
    <w:rsid w:val="001255B2"/>
    <w:rsid w:val="00133B09"/>
    <w:rsid w:val="00133E03"/>
    <w:rsid w:val="00133F3E"/>
    <w:rsid w:val="0013571A"/>
    <w:rsid w:val="00135E9D"/>
    <w:rsid w:val="00137429"/>
    <w:rsid w:val="001420DE"/>
    <w:rsid w:val="00147F22"/>
    <w:rsid w:val="00150A9B"/>
    <w:rsid w:val="00151978"/>
    <w:rsid w:val="001565B7"/>
    <w:rsid w:val="00156D92"/>
    <w:rsid w:val="001572CC"/>
    <w:rsid w:val="001605F6"/>
    <w:rsid w:val="00161F2D"/>
    <w:rsid w:val="00172DCB"/>
    <w:rsid w:val="00174F2A"/>
    <w:rsid w:val="00180297"/>
    <w:rsid w:val="00180E1F"/>
    <w:rsid w:val="00182124"/>
    <w:rsid w:val="00182858"/>
    <w:rsid w:val="001864D5"/>
    <w:rsid w:val="00187343"/>
    <w:rsid w:val="00187D05"/>
    <w:rsid w:val="00192359"/>
    <w:rsid w:val="001979C7"/>
    <w:rsid w:val="001A08E0"/>
    <w:rsid w:val="001A2BEC"/>
    <w:rsid w:val="001A4089"/>
    <w:rsid w:val="001B3C84"/>
    <w:rsid w:val="001C762F"/>
    <w:rsid w:val="001D21A0"/>
    <w:rsid w:val="001D4ECF"/>
    <w:rsid w:val="001D6683"/>
    <w:rsid w:val="001D7347"/>
    <w:rsid w:val="001E0FBF"/>
    <w:rsid w:val="001E3418"/>
    <w:rsid w:val="001E35DD"/>
    <w:rsid w:val="001E50BE"/>
    <w:rsid w:val="001F1CA0"/>
    <w:rsid w:val="001F1FD4"/>
    <w:rsid w:val="001F2B92"/>
    <w:rsid w:val="001F2E8E"/>
    <w:rsid w:val="001F43A0"/>
    <w:rsid w:val="00202FD8"/>
    <w:rsid w:val="00205031"/>
    <w:rsid w:val="0021090E"/>
    <w:rsid w:val="00213B3D"/>
    <w:rsid w:val="0021602A"/>
    <w:rsid w:val="002202C8"/>
    <w:rsid w:val="00222EF9"/>
    <w:rsid w:val="00224DE9"/>
    <w:rsid w:val="002252DD"/>
    <w:rsid w:val="00226DB9"/>
    <w:rsid w:val="0022744E"/>
    <w:rsid w:val="00227B54"/>
    <w:rsid w:val="00231BBF"/>
    <w:rsid w:val="00233ECA"/>
    <w:rsid w:val="002363B8"/>
    <w:rsid w:val="00236C2B"/>
    <w:rsid w:val="002372F0"/>
    <w:rsid w:val="00250823"/>
    <w:rsid w:val="00251AA8"/>
    <w:rsid w:val="002577A5"/>
    <w:rsid w:val="00257BF5"/>
    <w:rsid w:val="00257F44"/>
    <w:rsid w:val="002600FC"/>
    <w:rsid w:val="0026145F"/>
    <w:rsid w:val="00273671"/>
    <w:rsid w:val="00274997"/>
    <w:rsid w:val="00280AA4"/>
    <w:rsid w:val="002819CD"/>
    <w:rsid w:val="0028559D"/>
    <w:rsid w:val="002909F2"/>
    <w:rsid w:val="00294F29"/>
    <w:rsid w:val="002962F5"/>
    <w:rsid w:val="00296D1B"/>
    <w:rsid w:val="00297F95"/>
    <w:rsid w:val="002A3321"/>
    <w:rsid w:val="002A4901"/>
    <w:rsid w:val="002A5011"/>
    <w:rsid w:val="002B06FB"/>
    <w:rsid w:val="002B1C54"/>
    <w:rsid w:val="002B1E5E"/>
    <w:rsid w:val="002B49D3"/>
    <w:rsid w:val="002B69CC"/>
    <w:rsid w:val="002D4170"/>
    <w:rsid w:val="002E02B9"/>
    <w:rsid w:val="002E7F21"/>
    <w:rsid w:val="002F0162"/>
    <w:rsid w:val="002F2911"/>
    <w:rsid w:val="00300E90"/>
    <w:rsid w:val="0030174F"/>
    <w:rsid w:val="00310949"/>
    <w:rsid w:val="003110DB"/>
    <w:rsid w:val="0031235B"/>
    <w:rsid w:val="003134D1"/>
    <w:rsid w:val="00313F3F"/>
    <w:rsid w:val="003154B0"/>
    <w:rsid w:val="0032171C"/>
    <w:rsid w:val="0032531A"/>
    <w:rsid w:val="00330137"/>
    <w:rsid w:val="00331A0F"/>
    <w:rsid w:val="003427A1"/>
    <w:rsid w:val="00343F17"/>
    <w:rsid w:val="003454AF"/>
    <w:rsid w:val="00355306"/>
    <w:rsid w:val="00356BC3"/>
    <w:rsid w:val="00361D42"/>
    <w:rsid w:val="00363CAC"/>
    <w:rsid w:val="00372639"/>
    <w:rsid w:val="0037625B"/>
    <w:rsid w:val="00377657"/>
    <w:rsid w:val="00380105"/>
    <w:rsid w:val="003851D6"/>
    <w:rsid w:val="00386F17"/>
    <w:rsid w:val="00387047"/>
    <w:rsid w:val="003A68AF"/>
    <w:rsid w:val="003C0A87"/>
    <w:rsid w:val="003C2602"/>
    <w:rsid w:val="003D13C5"/>
    <w:rsid w:val="003D42BB"/>
    <w:rsid w:val="003D728B"/>
    <w:rsid w:val="003E2B37"/>
    <w:rsid w:val="003E4545"/>
    <w:rsid w:val="003E582B"/>
    <w:rsid w:val="003F0D4C"/>
    <w:rsid w:val="003F329F"/>
    <w:rsid w:val="003F355E"/>
    <w:rsid w:val="003F575B"/>
    <w:rsid w:val="0040012F"/>
    <w:rsid w:val="004042CD"/>
    <w:rsid w:val="0040565F"/>
    <w:rsid w:val="00411774"/>
    <w:rsid w:val="00411A9A"/>
    <w:rsid w:val="00412B87"/>
    <w:rsid w:val="00414AFC"/>
    <w:rsid w:val="004151A6"/>
    <w:rsid w:val="0041545A"/>
    <w:rsid w:val="004162D0"/>
    <w:rsid w:val="00417D1D"/>
    <w:rsid w:val="00422471"/>
    <w:rsid w:val="00422B4C"/>
    <w:rsid w:val="0042492B"/>
    <w:rsid w:val="0043663B"/>
    <w:rsid w:val="00436791"/>
    <w:rsid w:val="00436B1F"/>
    <w:rsid w:val="00447C2D"/>
    <w:rsid w:val="00452AAF"/>
    <w:rsid w:val="00454322"/>
    <w:rsid w:val="00461B22"/>
    <w:rsid w:val="00462C2D"/>
    <w:rsid w:val="00466953"/>
    <w:rsid w:val="0047151E"/>
    <w:rsid w:val="00471E4D"/>
    <w:rsid w:val="00474894"/>
    <w:rsid w:val="0047633D"/>
    <w:rsid w:val="004763FC"/>
    <w:rsid w:val="00483B74"/>
    <w:rsid w:val="004870FC"/>
    <w:rsid w:val="004929A7"/>
    <w:rsid w:val="0049560A"/>
    <w:rsid w:val="00495FBC"/>
    <w:rsid w:val="004970BD"/>
    <w:rsid w:val="004A3DE0"/>
    <w:rsid w:val="004A4404"/>
    <w:rsid w:val="004A4DA6"/>
    <w:rsid w:val="004A4F9C"/>
    <w:rsid w:val="004C6013"/>
    <w:rsid w:val="004C60EC"/>
    <w:rsid w:val="004D53E1"/>
    <w:rsid w:val="004D5801"/>
    <w:rsid w:val="004D6E0E"/>
    <w:rsid w:val="004D76E5"/>
    <w:rsid w:val="004E0DFD"/>
    <w:rsid w:val="004E5167"/>
    <w:rsid w:val="004E6BFD"/>
    <w:rsid w:val="004E6F8C"/>
    <w:rsid w:val="004F0F82"/>
    <w:rsid w:val="004F32D8"/>
    <w:rsid w:val="004F35B8"/>
    <w:rsid w:val="004F47A7"/>
    <w:rsid w:val="004F6991"/>
    <w:rsid w:val="005049FC"/>
    <w:rsid w:val="00511C3B"/>
    <w:rsid w:val="00512136"/>
    <w:rsid w:val="0051354B"/>
    <w:rsid w:val="00516C8A"/>
    <w:rsid w:val="00527BC6"/>
    <w:rsid w:val="005310CD"/>
    <w:rsid w:val="00533334"/>
    <w:rsid w:val="00533AAE"/>
    <w:rsid w:val="00535927"/>
    <w:rsid w:val="005374FF"/>
    <w:rsid w:val="00537F92"/>
    <w:rsid w:val="005428C9"/>
    <w:rsid w:val="00544938"/>
    <w:rsid w:val="00544DCD"/>
    <w:rsid w:val="00550908"/>
    <w:rsid w:val="005559A0"/>
    <w:rsid w:val="00557EB2"/>
    <w:rsid w:val="00561CDE"/>
    <w:rsid w:val="00566F22"/>
    <w:rsid w:val="0057297B"/>
    <w:rsid w:val="0058456E"/>
    <w:rsid w:val="00584AF4"/>
    <w:rsid w:val="00584D00"/>
    <w:rsid w:val="0058768F"/>
    <w:rsid w:val="00593EB5"/>
    <w:rsid w:val="00593F6A"/>
    <w:rsid w:val="00596662"/>
    <w:rsid w:val="005A56C8"/>
    <w:rsid w:val="005A5FE4"/>
    <w:rsid w:val="005A7528"/>
    <w:rsid w:val="005A7F8E"/>
    <w:rsid w:val="005B4751"/>
    <w:rsid w:val="005B5F32"/>
    <w:rsid w:val="005C2B1C"/>
    <w:rsid w:val="005C4034"/>
    <w:rsid w:val="005C4C37"/>
    <w:rsid w:val="005C679A"/>
    <w:rsid w:val="005D0876"/>
    <w:rsid w:val="005D1535"/>
    <w:rsid w:val="005D59B4"/>
    <w:rsid w:val="005E220B"/>
    <w:rsid w:val="005E26E1"/>
    <w:rsid w:val="005E7161"/>
    <w:rsid w:val="005F0D7A"/>
    <w:rsid w:val="005F2728"/>
    <w:rsid w:val="005F2C5F"/>
    <w:rsid w:val="005F3D28"/>
    <w:rsid w:val="005F3EDF"/>
    <w:rsid w:val="005F6B24"/>
    <w:rsid w:val="00600987"/>
    <w:rsid w:val="00603A1B"/>
    <w:rsid w:val="0060658F"/>
    <w:rsid w:val="0060683A"/>
    <w:rsid w:val="00611784"/>
    <w:rsid w:val="00614F66"/>
    <w:rsid w:val="00615462"/>
    <w:rsid w:val="00617047"/>
    <w:rsid w:val="00617F8A"/>
    <w:rsid w:val="006208A3"/>
    <w:rsid w:val="006215CD"/>
    <w:rsid w:val="00622D06"/>
    <w:rsid w:val="006232A4"/>
    <w:rsid w:val="006233D4"/>
    <w:rsid w:val="0062575C"/>
    <w:rsid w:val="00630833"/>
    <w:rsid w:val="00633465"/>
    <w:rsid w:val="006353C5"/>
    <w:rsid w:val="006405F1"/>
    <w:rsid w:val="006428DD"/>
    <w:rsid w:val="0064454D"/>
    <w:rsid w:val="00644E6C"/>
    <w:rsid w:val="006462CB"/>
    <w:rsid w:val="00646550"/>
    <w:rsid w:val="0065012F"/>
    <w:rsid w:val="00653986"/>
    <w:rsid w:val="00654070"/>
    <w:rsid w:val="00654E7B"/>
    <w:rsid w:val="00671B3A"/>
    <w:rsid w:val="0067642B"/>
    <w:rsid w:val="00677988"/>
    <w:rsid w:val="006809B6"/>
    <w:rsid w:val="0069348C"/>
    <w:rsid w:val="006974DB"/>
    <w:rsid w:val="006979DF"/>
    <w:rsid w:val="006A1C56"/>
    <w:rsid w:val="006A7576"/>
    <w:rsid w:val="006B13A7"/>
    <w:rsid w:val="006B2D6B"/>
    <w:rsid w:val="006B2DFB"/>
    <w:rsid w:val="006B460F"/>
    <w:rsid w:val="006B632E"/>
    <w:rsid w:val="006B6AD4"/>
    <w:rsid w:val="006B6F45"/>
    <w:rsid w:val="006C54A3"/>
    <w:rsid w:val="006C7AD3"/>
    <w:rsid w:val="006C7BAA"/>
    <w:rsid w:val="006D7B4A"/>
    <w:rsid w:val="006E0300"/>
    <w:rsid w:val="006E4DA8"/>
    <w:rsid w:val="006E5747"/>
    <w:rsid w:val="006E5807"/>
    <w:rsid w:val="006E5B28"/>
    <w:rsid w:val="006F5731"/>
    <w:rsid w:val="0070077B"/>
    <w:rsid w:val="0070376A"/>
    <w:rsid w:val="00704407"/>
    <w:rsid w:val="00717D7A"/>
    <w:rsid w:val="00723574"/>
    <w:rsid w:val="007258A5"/>
    <w:rsid w:val="00725930"/>
    <w:rsid w:val="00725DFD"/>
    <w:rsid w:val="00726B9B"/>
    <w:rsid w:val="00730A1D"/>
    <w:rsid w:val="00736656"/>
    <w:rsid w:val="00737781"/>
    <w:rsid w:val="0075193A"/>
    <w:rsid w:val="007536FF"/>
    <w:rsid w:val="00755B46"/>
    <w:rsid w:val="00760714"/>
    <w:rsid w:val="00760E09"/>
    <w:rsid w:val="007611E2"/>
    <w:rsid w:val="007717E8"/>
    <w:rsid w:val="00772DFF"/>
    <w:rsid w:val="00781778"/>
    <w:rsid w:val="00791DEA"/>
    <w:rsid w:val="00792FE5"/>
    <w:rsid w:val="00793A9A"/>
    <w:rsid w:val="007A130C"/>
    <w:rsid w:val="007A5C20"/>
    <w:rsid w:val="007A603D"/>
    <w:rsid w:val="007A7629"/>
    <w:rsid w:val="007A7B77"/>
    <w:rsid w:val="007B23DC"/>
    <w:rsid w:val="007B65DD"/>
    <w:rsid w:val="007C06A3"/>
    <w:rsid w:val="007C131C"/>
    <w:rsid w:val="007C21A2"/>
    <w:rsid w:val="007C4514"/>
    <w:rsid w:val="007C4C65"/>
    <w:rsid w:val="007C54BE"/>
    <w:rsid w:val="007C5CB5"/>
    <w:rsid w:val="007D275F"/>
    <w:rsid w:val="007D2D57"/>
    <w:rsid w:val="007E13C5"/>
    <w:rsid w:val="007F3E1F"/>
    <w:rsid w:val="00800E9A"/>
    <w:rsid w:val="0080302D"/>
    <w:rsid w:val="00803CC4"/>
    <w:rsid w:val="00803D69"/>
    <w:rsid w:val="008056C0"/>
    <w:rsid w:val="008103BE"/>
    <w:rsid w:val="00810B86"/>
    <w:rsid w:val="00811E06"/>
    <w:rsid w:val="0082026F"/>
    <w:rsid w:val="00823ACD"/>
    <w:rsid w:val="008269D2"/>
    <w:rsid w:val="00827E4A"/>
    <w:rsid w:val="00835B8B"/>
    <w:rsid w:val="00836520"/>
    <w:rsid w:val="00845004"/>
    <w:rsid w:val="008473D9"/>
    <w:rsid w:val="00847498"/>
    <w:rsid w:val="0085131C"/>
    <w:rsid w:val="00852004"/>
    <w:rsid w:val="00854A65"/>
    <w:rsid w:val="00860D1F"/>
    <w:rsid w:val="00862181"/>
    <w:rsid w:val="008637D4"/>
    <w:rsid w:val="008705DE"/>
    <w:rsid w:val="0087456A"/>
    <w:rsid w:val="00882CEB"/>
    <w:rsid w:val="008905C1"/>
    <w:rsid w:val="008927FA"/>
    <w:rsid w:val="00892C35"/>
    <w:rsid w:val="00895313"/>
    <w:rsid w:val="008959AC"/>
    <w:rsid w:val="00896CE1"/>
    <w:rsid w:val="008A1C7F"/>
    <w:rsid w:val="008A679F"/>
    <w:rsid w:val="008B44F0"/>
    <w:rsid w:val="008B51D7"/>
    <w:rsid w:val="008B5BCB"/>
    <w:rsid w:val="008C64C4"/>
    <w:rsid w:val="008D0C91"/>
    <w:rsid w:val="008D1830"/>
    <w:rsid w:val="008D2D07"/>
    <w:rsid w:val="008D31B1"/>
    <w:rsid w:val="008E0823"/>
    <w:rsid w:val="008E2707"/>
    <w:rsid w:val="008E7ECD"/>
    <w:rsid w:val="008F00BB"/>
    <w:rsid w:val="0090237D"/>
    <w:rsid w:val="00903929"/>
    <w:rsid w:val="009055E9"/>
    <w:rsid w:val="0090608A"/>
    <w:rsid w:val="00910521"/>
    <w:rsid w:val="00914023"/>
    <w:rsid w:val="0091642E"/>
    <w:rsid w:val="00916D03"/>
    <w:rsid w:val="00922347"/>
    <w:rsid w:val="009331F9"/>
    <w:rsid w:val="0093674C"/>
    <w:rsid w:val="00943558"/>
    <w:rsid w:val="00944053"/>
    <w:rsid w:val="009443E2"/>
    <w:rsid w:val="009519A6"/>
    <w:rsid w:val="00952D54"/>
    <w:rsid w:val="0095321A"/>
    <w:rsid w:val="00953A23"/>
    <w:rsid w:val="009673DD"/>
    <w:rsid w:val="00967932"/>
    <w:rsid w:val="00970E53"/>
    <w:rsid w:val="00971057"/>
    <w:rsid w:val="009745C4"/>
    <w:rsid w:val="00975EB0"/>
    <w:rsid w:val="00977B2E"/>
    <w:rsid w:val="009849FA"/>
    <w:rsid w:val="009879E2"/>
    <w:rsid w:val="00990114"/>
    <w:rsid w:val="0099168B"/>
    <w:rsid w:val="00994DD6"/>
    <w:rsid w:val="009A0080"/>
    <w:rsid w:val="009A1265"/>
    <w:rsid w:val="009A2BF3"/>
    <w:rsid w:val="009A30BB"/>
    <w:rsid w:val="009A400F"/>
    <w:rsid w:val="009A4ED6"/>
    <w:rsid w:val="009A5A7E"/>
    <w:rsid w:val="009B02D4"/>
    <w:rsid w:val="009B2BE3"/>
    <w:rsid w:val="009B7546"/>
    <w:rsid w:val="009C50CE"/>
    <w:rsid w:val="009D285C"/>
    <w:rsid w:val="009D3821"/>
    <w:rsid w:val="009D3AFB"/>
    <w:rsid w:val="009D438C"/>
    <w:rsid w:val="009D5A92"/>
    <w:rsid w:val="009D6344"/>
    <w:rsid w:val="009D7035"/>
    <w:rsid w:val="009F412C"/>
    <w:rsid w:val="009F66DB"/>
    <w:rsid w:val="00A00A37"/>
    <w:rsid w:val="00A02B2B"/>
    <w:rsid w:val="00A02FE2"/>
    <w:rsid w:val="00A11C22"/>
    <w:rsid w:val="00A1494F"/>
    <w:rsid w:val="00A14D43"/>
    <w:rsid w:val="00A1765F"/>
    <w:rsid w:val="00A268FD"/>
    <w:rsid w:val="00A31DDA"/>
    <w:rsid w:val="00A31F26"/>
    <w:rsid w:val="00A33542"/>
    <w:rsid w:val="00A35815"/>
    <w:rsid w:val="00A56513"/>
    <w:rsid w:val="00A60567"/>
    <w:rsid w:val="00A72AA1"/>
    <w:rsid w:val="00A73DAB"/>
    <w:rsid w:val="00A76E77"/>
    <w:rsid w:val="00A864C2"/>
    <w:rsid w:val="00A8748B"/>
    <w:rsid w:val="00A876FD"/>
    <w:rsid w:val="00A914CF"/>
    <w:rsid w:val="00AB3A55"/>
    <w:rsid w:val="00AB40B1"/>
    <w:rsid w:val="00AC45CB"/>
    <w:rsid w:val="00AC4CA2"/>
    <w:rsid w:val="00AC7177"/>
    <w:rsid w:val="00AC74BA"/>
    <w:rsid w:val="00AD26BD"/>
    <w:rsid w:val="00AD5228"/>
    <w:rsid w:val="00AD61E4"/>
    <w:rsid w:val="00AE0D55"/>
    <w:rsid w:val="00AE2361"/>
    <w:rsid w:val="00AE77A8"/>
    <w:rsid w:val="00AF1C41"/>
    <w:rsid w:val="00AF2D0D"/>
    <w:rsid w:val="00AF320E"/>
    <w:rsid w:val="00AF6306"/>
    <w:rsid w:val="00AF7EAE"/>
    <w:rsid w:val="00B00B9F"/>
    <w:rsid w:val="00B04352"/>
    <w:rsid w:val="00B05E53"/>
    <w:rsid w:val="00B062FD"/>
    <w:rsid w:val="00B0635C"/>
    <w:rsid w:val="00B07734"/>
    <w:rsid w:val="00B11670"/>
    <w:rsid w:val="00B12298"/>
    <w:rsid w:val="00B128D1"/>
    <w:rsid w:val="00B1293C"/>
    <w:rsid w:val="00B145A4"/>
    <w:rsid w:val="00B1644B"/>
    <w:rsid w:val="00B22F36"/>
    <w:rsid w:val="00B24605"/>
    <w:rsid w:val="00B2565A"/>
    <w:rsid w:val="00B30895"/>
    <w:rsid w:val="00B355A1"/>
    <w:rsid w:val="00B44AAD"/>
    <w:rsid w:val="00B50502"/>
    <w:rsid w:val="00B53276"/>
    <w:rsid w:val="00B555C3"/>
    <w:rsid w:val="00B56FB3"/>
    <w:rsid w:val="00B64B26"/>
    <w:rsid w:val="00B7125A"/>
    <w:rsid w:val="00B71A81"/>
    <w:rsid w:val="00B72380"/>
    <w:rsid w:val="00B73D93"/>
    <w:rsid w:val="00B7777D"/>
    <w:rsid w:val="00B77AB2"/>
    <w:rsid w:val="00B81D39"/>
    <w:rsid w:val="00B83BA7"/>
    <w:rsid w:val="00B90C1C"/>
    <w:rsid w:val="00B94027"/>
    <w:rsid w:val="00B95365"/>
    <w:rsid w:val="00B957EE"/>
    <w:rsid w:val="00B97D7D"/>
    <w:rsid w:val="00BA207A"/>
    <w:rsid w:val="00BA24C2"/>
    <w:rsid w:val="00BA3B3A"/>
    <w:rsid w:val="00BB2CC9"/>
    <w:rsid w:val="00BB68FE"/>
    <w:rsid w:val="00BC0FB9"/>
    <w:rsid w:val="00BC207B"/>
    <w:rsid w:val="00BC44E6"/>
    <w:rsid w:val="00BC4E3D"/>
    <w:rsid w:val="00BC5637"/>
    <w:rsid w:val="00BC7265"/>
    <w:rsid w:val="00BD5ED4"/>
    <w:rsid w:val="00BD5F3E"/>
    <w:rsid w:val="00BD6483"/>
    <w:rsid w:val="00BE1E98"/>
    <w:rsid w:val="00BE36E2"/>
    <w:rsid w:val="00BF0CA7"/>
    <w:rsid w:val="00BF2A35"/>
    <w:rsid w:val="00BF32AB"/>
    <w:rsid w:val="00BF4394"/>
    <w:rsid w:val="00BF50FE"/>
    <w:rsid w:val="00BF55E3"/>
    <w:rsid w:val="00BF5F6B"/>
    <w:rsid w:val="00BF6EF9"/>
    <w:rsid w:val="00C00B79"/>
    <w:rsid w:val="00C03E36"/>
    <w:rsid w:val="00C04602"/>
    <w:rsid w:val="00C0461B"/>
    <w:rsid w:val="00C054F2"/>
    <w:rsid w:val="00C0568B"/>
    <w:rsid w:val="00C07FAD"/>
    <w:rsid w:val="00C111C6"/>
    <w:rsid w:val="00C11980"/>
    <w:rsid w:val="00C11F4E"/>
    <w:rsid w:val="00C149A2"/>
    <w:rsid w:val="00C20F36"/>
    <w:rsid w:val="00C22A74"/>
    <w:rsid w:val="00C22BCB"/>
    <w:rsid w:val="00C31DC1"/>
    <w:rsid w:val="00C3422F"/>
    <w:rsid w:val="00C34C8F"/>
    <w:rsid w:val="00C3581B"/>
    <w:rsid w:val="00C35E25"/>
    <w:rsid w:val="00C37010"/>
    <w:rsid w:val="00C40C7B"/>
    <w:rsid w:val="00C433E8"/>
    <w:rsid w:val="00C43775"/>
    <w:rsid w:val="00C44918"/>
    <w:rsid w:val="00C53DEA"/>
    <w:rsid w:val="00C544BD"/>
    <w:rsid w:val="00C575BE"/>
    <w:rsid w:val="00C62D04"/>
    <w:rsid w:val="00C63512"/>
    <w:rsid w:val="00C64767"/>
    <w:rsid w:val="00C67AF0"/>
    <w:rsid w:val="00C734CE"/>
    <w:rsid w:val="00C74123"/>
    <w:rsid w:val="00C74C8D"/>
    <w:rsid w:val="00C77B2E"/>
    <w:rsid w:val="00C80AFC"/>
    <w:rsid w:val="00C8126D"/>
    <w:rsid w:val="00C845B1"/>
    <w:rsid w:val="00C923A5"/>
    <w:rsid w:val="00C9406E"/>
    <w:rsid w:val="00C94CD0"/>
    <w:rsid w:val="00C96DC8"/>
    <w:rsid w:val="00CA195B"/>
    <w:rsid w:val="00CA2055"/>
    <w:rsid w:val="00CA3694"/>
    <w:rsid w:val="00CA4E9A"/>
    <w:rsid w:val="00CA60B5"/>
    <w:rsid w:val="00CA7C79"/>
    <w:rsid w:val="00CA7E41"/>
    <w:rsid w:val="00CB17D6"/>
    <w:rsid w:val="00CB2AAE"/>
    <w:rsid w:val="00CB3249"/>
    <w:rsid w:val="00CB5723"/>
    <w:rsid w:val="00CB5FDE"/>
    <w:rsid w:val="00CC2A38"/>
    <w:rsid w:val="00CC2D7E"/>
    <w:rsid w:val="00CC60C9"/>
    <w:rsid w:val="00CD1FFA"/>
    <w:rsid w:val="00CE08D5"/>
    <w:rsid w:val="00CE2C57"/>
    <w:rsid w:val="00CE3311"/>
    <w:rsid w:val="00CE7622"/>
    <w:rsid w:val="00CF04FB"/>
    <w:rsid w:val="00CF61D5"/>
    <w:rsid w:val="00D051CF"/>
    <w:rsid w:val="00D1097E"/>
    <w:rsid w:val="00D1262A"/>
    <w:rsid w:val="00D14937"/>
    <w:rsid w:val="00D177E8"/>
    <w:rsid w:val="00D20DC2"/>
    <w:rsid w:val="00D22425"/>
    <w:rsid w:val="00D2330B"/>
    <w:rsid w:val="00D25E58"/>
    <w:rsid w:val="00D2600D"/>
    <w:rsid w:val="00D26C24"/>
    <w:rsid w:val="00D272E1"/>
    <w:rsid w:val="00D335BA"/>
    <w:rsid w:val="00D347C1"/>
    <w:rsid w:val="00D35B7E"/>
    <w:rsid w:val="00D36602"/>
    <w:rsid w:val="00D44C2A"/>
    <w:rsid w:val="00D450A2"/>
    <w:rsid w:val="00D4537D"/>
    <w:rsid w:val="00D47637"/>
    <w:rsid w:val="00D51EE6"/>
    <w:rsid w:val="00D5577F"/>
    <w:rsid w:val="00D63665"/>
    <w:rsid w:val="00D665C3"/>
    <w:rsid w:val="00D66673"/>
    <w:rsid w:val="00D67B09"/>
    <w:rsid w:val="00D67F85"/>
    <w:rsid w:val="00D721D2"/>
    <w:rsid w:val="00D86AAA"/>
    <w:rsid w:val="00D90668"/>
    <w:rsid w:val="00D93282"/>
    <w:rsid w:val="00D976D9"/>
    <w:rsid w:val="00DA020F"/>
    <w:rsid w:val="00DA2939"/>
    <w:rsid w:val="00DA4476"/>
    <w:rsid w:val="00DB2CF6"/>
    <w:rsid w:val="00DB334F"/>
    <w:rsid w:val="00DB46CC"/>
    <w:rsid w:val="00DB631B"/>
    <w:rsid w:val="00DB7D2B"/>
    <w:rsid w:val="00DC0EE8"/>
    <w:rsid w:val="00DC3D7D"/>
    <w:rsid w:val="00DC5D05"/>
    <w:rsid w:val="00DD381F"/>
    <w:rsid w:val="00DD55D3"/>
    <w:rsid w:val="00DE09EC"/>
    <w:rsid w:val="00DE4AF6"/>
    <w:rsid w:val="00DE66FD"/>
    <w:rsid w:val="00DE6DDE"/>
    <w:rsid w:val="00DE6F39"/>
    <w:rsid w:val="00DE7D68"/>
    <w:rsid w:val="00DF53E1"/>
    <w:rsid w:val="00DF6351"/>
    <w:rsid w:val="00E03A60"/>
    <w:rsid w:val="00E11AC8"/>
    <w:rsid w:val="00E13900"/>
    <w:rsid w:val="00E21448"/>
    <w:rsid w:val="00E267FA"/>
    <w:rsid w:val="00E3195B"/>
    <w:rsid w:val="00E329A0"/>
    <w:rsid w:val="00E3381F"/>
    <w:rsid w:val="00E34FEE"/>
    <w:rsid w:val="00E37D30"/>
    <w:rsid w:val="00E522CE"/>
    <w:rsid w:val="00E53C97"/>
    <w:rsid w:val="00E56683"/>
    <w:rsid w:val="00E57760"/>
    <w:rsid w:val="00E6170F"/>
    <w:rsid w:val="00E65987"/>
    <w:rsid w:val="00E676ED"/>
    <w:rsid w:val="00E734D2"/>
    <w:rsid w:val="00E75C50"/>
    <w:rsid w:val="00E841C8"/>
    <w:rsid w:val="00E91365"/>
    <w:rsid w:val="00E91F2D"/>
    <w:rsid w:val="00E94E3E"/>
    <w:rsid w:val="00EA26EF"/>
    <w:rsid w:val="00EB1BB8"/>
    <w:rsid w:val="00EB7ECC"/>
    <w:rsid w:val="00EC161D"/>
    <w:rsid w:val="00EC1E3A"/>
    <w:rsid w:val="00EC2F2A"/>
    <w:rsid w:val="00EC54F3"/>
    <w:rsid w:val="00EC6630"/>
    <w:rsid w:val="00EC7B2B"/>
    <w:rsid w:val="00ED3F11"/>
    <w:rsid w:val="00EE6173"/>
    <w:rsid w:val="00EE71BE"/>
    <w:rsid w:val="00EF66A5"/>
    <w:rsid w:val="00EF6C23"/>
    <w:rsid w:val="00F02603"/>
    <w:rsid w:val="00F163AE"/>
    <w:rsid w:val="00F16A6D"/>
    <w:rsid w:val="00F20CF7"/>
    <w:rsid w:val="00F2171C"/>
    <w:rsid w:val="00F3379E"/>
    <w:rsid w:val="00F352D5"/>
    <w:rsid w:val="00F407BB"/>
    <w:rsid w:val="00F45CEC"/>
    <w:rsid w:val="00F5024E"/>
    <w:rsid w:val="00F524E1"/>
    <w:rsid w:val="00F60822"/>
    <w:rsid w:val="00F63F95"/>
    <w:rsid w:val="00F646BD"/>
    <w:rsid w:val="00F64AF3"/>
    <w:rsid w:val="00F701D3"/>
    <w:rsid w:val="00F801AE"/>
    <w:rsid w:val="00F8393A"/>
    <w:rsid w:val="00F83D92"/>
    <w:rsid w:val="00F91087"/>
    <w:rsid w:val="00F92044"/>
    <w:rsid w:val="00F93AE6"/>
    <w:rsid w:val="00F93D07"/>
    <w:rsid w:val="00F95F43"/>
    <w:rsid w:val="00FA2A76"/>
    <w:rsid w:val="00FA78EE"/>
    <w:rsid w:val="00FB0227"/>
    <w:rsid w:val="00FB2C2F"/>
    <w:rsid w:val="00FB38E1"/>
    <w:rsid w:val="00FB4CB3"/>
    <w:rsid w:val="00FB4DEE"/>
    <w:rsid w:val="00FC0981"/>
    <w:rsid w:val="00FC222D"/>
    <w:rsid w:val="00FC5D40"/>
    <w:rsid w:val="00FC7469"/>
    <w:rsid w:val="00FD2E6A"/>
    <w:rsid w:val="00FD3612"/>
    <w:rsid w:val="00FD4199"/>
    <w:rsid w:val="00FD4598"/>
    <w:rsid w:val="00FE27F9"/>
    <w:rsid w:val="00FF060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rPr>
      <w:rFonts w:cs="Times New Roman"/>
    </w:rPr>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rPr>
      <w:rFonts w:cs="Times New Roman"/>
    </w:rPr>
  </w:style>
  <w:style w:type="paragraph" w:styleId="Textedebulles">
    <w:name w:val="Balloon Text"/>
    <w:basedOn w:val="Normal"/>
    <w:link w:val="TextedebullesCar"/>
    <w:uiPriority w:val="99"/>
    <w:semiHidden/>
    <w:rsid w:val="00D67F8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Times New Roman"/>
      <w:sz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Grilledutableau">
    <w:name w:val="Table Grid"/>
    <w:basedOn w:val="TableauNormal"/>
    <w:uiPriority w:val="3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ebrut">
    <w:name w:val="Plain Text"/>
    <w:basedOn w:val="Normal"/>
    <w:link w:val="TextebrutCar"/>
    <w:uiPriority w:val="99"/>
    <w:semiHidden/>
    <w:rsid w:val="006D7B4A"/>
    <w:rPr>
      <w:rFonts w:ascii="Calibri" w:hAnsi="Calibri" w:cs="Consolas"/>
      <w:sz w:val="22"/>
      <w:szCs w:val="21"/>
    </w:rPr>
  </w:style>
  <w:style w:type="character" w:customStyle="1" w:styleId="TextebrutCar">
    <w:name w:val="Texte brut Car"/>
    <w:basedOn w:val="Policepardfaut"/>
    <w:link w:val="Textebrut"/>
    <w:uiPriority w:val="99"/>
    <w:semiHidden/>
    <w:locked/>
    <w:rsid w:val="006D7B4A"/>
    <w:rPr>
      <w:rFonts w:ascii="Calibri" w:hAnsi="Calibri" w:cs="Consolas"/>
      <w:sz w:val="21"/>
      <w:szCs w:val="21"/>
      <w:lang w:eastAsia="en-GB"/>
    </w:rPr>
  </w:style>
  <w:style w:type="character" w:styleId="Accentuation">
    <w:name w:val="Emphasis"/>
    <w:basedOn w:val="Policepardfau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Explorateurdedocuments">
    <w:name w:val="Document Map"/>
    <w:basedOn w:val="Normal"/>
    <w:link w:val="ExplorateurdedocumentsCar"/>
    <w:uiPriority w:val="99"/>
    <w:semiHidden/>
    <w:rsid w:val="00C3701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Notedebasdepage">
    <w:name w:val="footnote text"/>
    <w:basedOn w:val="Normal"/>
    <w:link w:val="NotedebasdepageCar"/>
    <w:uiPriority w:val="99"/>
    <w:semiHidden/>
    <w:rsid w:val="004D53E1"/>
    <w:pPr>
      <w:widowControl w:val="0"/>
    </w:pPr>
    <w:rPr>
      <w:rFonts w:cs="Cambria"/>
      <w:sz w:val="20"/>
      <w:szCs w:val="20"/>
    </w:rPr>
  </w:style>
  <w:style w:type="character" w:customStyle="1" w:styleId="NotedebasdepageCar">
    <w:name w:val="Note de bas de page Car"/>
    <w:basedOn w:val="Policepardfaut"/>
    <w:link w:val="Notedebasdepage"/>
    <w:uiPriority w:val="99"/>
    <w:semiHidden/>
    <w:locked/>
    <w:rsid w:val="004D53E1"/>
    <w:rPr>
      <w:rFonts w:cs="Cambria"/>
      <w:sz w:val="20"/>
      <w:szCs w:val="20"/>
      <w:lang w:eastAsia="en-GB" w:bidi="en-GB"/>
    </w:rPr>
  </w:style>
  <w:style w:type="character" w:styleId="Appelnotedebasdep">
    <w:name w:val="footnote reference"/>
    <w:basedOn w:val="Policepardfau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aragraphedeliste">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Policepardfaut"/>
    <w:uiPriority w:val="99"/>
    <w:rsid w:val="004E0DFD"/>
    <w:rPr>
      <w:rFonts w:cs="Times New Roman"/>
    </w:rPr>
  </w:style>
  <w:style w:type="paragraph" w:styleId="Notedefin">
    <w:name w:val="endnote text"/>
    <w:basedOn w:val="Normal"/>
    <w:link w:val="NotedefinCar"/>
    <w:uiPriority w:val="99"/>
    <w:semiHidden/>
    <w:unhideWhenUsed/>
    <w:rsid w:val="001F1CA0"/>
    <w:rPr>
      <w:sz w:val="20"/>
      <w:szCs w:val="20"/>
    </w:rPr>
  </w:style>
  <w:style w:type="character" w:customStyle="1" w:styleId="NotedefinCar">
    <w:name w:val="Note de fin Car"/>
    <w:basedOn w:val="Policepardfaut"/>
    <w:link w:val="Notedefin"/>
    <w:uiPriority w:val="99"/>
    <w:semiHidden/>
    <w:rsid w:val="001F1CA0"/>
    <w:rPr>
      <w:sz w:val="20"/>
      <w:szCs w:val="20"/>
    </w:rPr>
  </w:style>
  <w:style w:type="character" w:styleId="Appeldenotedefin">
    <w:name w:val="endnote reference"/>
    <w:basedOn w:val="Policepardfaut"/>
    <w:uiPriority w:val="99"/>
    <w:semiHidden/>
    <w:unhideWhenUsed/>
    <w:rsid w:val="001F1CA0"/>
    <w:rPr>
      <w:vertAlign w:val="superscript"/>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3E2B37"/>
    <w:rPr>
      <w:sz w:val="20"/>
      <w:szCs w:val="20"/>
    </w:rPr>
  </w:style>
  <w:style w:type="paragraph" w:styleId="Objetducommentaire">
    <w:name w:val="annotation subject"/>
    <w:basedOn w:val="Commentaire"/>
    <w:next w:val="Commentaire"/>
    <w:link w:val="ObjetducommentaireCar"/>
    <w:uiPriority w:val="99"/>
    <w:semiHidden/>
    <w:unhideWhenUsed/>
    <w:rsid w:val="003E2B37"/>
    <w:rPr>
      <w:b/>
      <w:bCs/>
    </w:rPr>
  </w:style>
  <w:style w:type="character" w:customStyle="1" w:styleId="ObjetducommentaireCar">
    <w:name w:val="Objet du commentaire Car"/>
    <w:basedOn w:val="CommentaireCar"/>
    <w:link w:val="Objetducommentaire"/>
    <w:uiPriority w:val="99"/>
    <w:semiHidden/>
    <w:rsid w:val="003E2B37"/>
    <w:rPr>
      <w:b/>
      <w:bCs/>
      <w:sz w:val="20"/>
      <w:szCs w:val="20"/>
    </w:rPr>
  </w:style>
  <w:style w:type="paragraph" w:styleId="Rvision">
    <w:name w:val="Revision"/>
    <w:hidden/>
    <w:uiPriority w:val="99"/>
    <w:semiHidden/>
    <w:rsid w:val="003E2B37"/>
    <w:rPr>
      <w:sz w:val="24"/>
      <w:szCs w:val="24"/>
    </w:rPr>
  </w:style>
  <w:style w:type="paragraph" w:customStyle="1" w:styleId="Textedesaisie">
    <w:name w:val="Texte de saisie"/>
    <w:basedOn w:val="Normal"/>
    <w:rsid w:val="00C149A2"/>
    <w:pPr>
      <w:widowControl w:val="0"/>
      <w:spacing w:line="260" w:lineRule="atLeast"/>
      <w:jc w:val="both"/>
    </w:pPr>
    <w:rPr>
      <w:rFonts w:ascii="Arial" w:eastAsia="Times New Roman" w:hAnsi="Arial"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rPr>
      <w:rFonts w:cs="Times New Roman"/>
    </w:rPr>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rPr>
      <w:rFonts w:cs="Times New Roman"/>
    </w:rPr>
  </w:style>
  <w:style w:type="paragraph" w:styleId="Textedebulles">
    <w:name w:val="Balloon Text"/>
    <w:basedOn w:val="Normal"/>
    <w:link w:val="TextedebullesCar"/>
    <w:uiPriority w:val="99"/>
    <w:semiHidden/>
    <w:rsid w:val="00D67F8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Times New Roman"/>
      <w:sz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Grilledutableau">
    <w:name w:val="Table Grid"/>
    <w:basedOn w:val="TableauNormal"/>
    <w:uiPriority w:val="3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ebrut">
    <w:name w:val="Plain Text"/>
    <w:basedOn w:val="Normal"/>
    <w:link w:val="TextebrutCar"/>
    <w:uiPriority w:val="99"/>
    <w:semiHidden/>
    <w:rsid w:val="006D7B4A"/>
    <w:rPr>
      <w:rFonts w:ascii="Calibri" w:hAnsi="Calibri" w:cs="Consolas"/>
      <w:sz w:val="22"/>
      <w:szCs w:val="21"/>
    </w:rPr>
  </w:style>
  <w:style w:type="character" w:customStyle="1" w:styleId="TextebrutCar">
    <w:name w:val="Texte brut Car"/>
    <w:basedOn w:val="Policepardfaut"/>
    <w:link w:val="Textebrut"/>
    <w:uiPriority w:val="99"/>
    <w:semiHidden/>
    <w:locked/>
    <w:rsid w:val="006D7B4A"/>
    <w:rPr>
      <w:rFonts w:ascii="Calibri" w:hAnsi="Calibri" w:cs="Consolas"/>
      <w:sz w:val="21"/>
      <w:szCs w:val="21"/>
      <w:lang w:eastAsia="en-GB"/>
    </w:rPr>
  </w:style>
  <w:style w:type="character" w:styleId="Accentuation">
    <w:name w:val="Emphasis"/>
    <w:basedOn w:val="Policepardfau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Explorateurdedocuments">
    <w:name w:val="Document Map"/>
    <w:basedOn w:val="Normal"/>
    <w:link w:val="ExplorateurdedocumentsCar"/>
    <w:uiPriority w:val="99"/>
    <w:semiHidden/>
    <w:rsid w:val="00C37010"/>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Notedebasdepage">
    <w:name w:val="footnote text"/>
    <w:basedOn w:val="Normal"/>
    <w:link w:val="NotedebasdepageCar"/>
    <w:uiPriority w:val="99"/>
    <w:semiHidden/>
    <w:rsid w:val="004D53E1"/>
    <w:pPr>
      <w:widowControl w:val="0"/>
    </w:pPr>
    <w:rPr>
      <w:rFonts w:cs="Cambria"/>
      <w:sz w:val="20"/>
      <w:szCs w:val="20"/>
    </w:rPr>
  </w:style>
  <w:style w:type="character" w:customStyle="1" w:styleId="NotedebasdepageCar">
    <w:name w:val="Note de bas de page Car"/>
    <w:basedOn w:val="Policepardfaut"/>
    <w:link w:val="Notedebasdepage"/>
    <w:uiPriority w:val="99"/>
    <w:semiHidden/>
    <w:locked/>
    <w:rsid w:val="004D53E1"/>
    <w:rPr>
      <w:rFonts w:cs="Cambria"/>
      <w:sz w:val="20"/>
      <w:szCs w:val="20"/>
      <w:lang w:eastAsia="en-GB" w:bidi="en-GB"/>
    </w:rPr>
  </w:style>
  <w:style w:type="character" w:styleId="Appelnotedebasdep">
    <w:name w:val="footnote reference"/>
    <w:basedOn w:val="Policepardfau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aragraphedeliste">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Policepardfaut"/>
    <w:uiPriority w:val="99"/>
    <w:rsid w:val="004E0DFD"/>
    <w:rPr>
      <w:rFonts w:cs="Times New Roman"/>
    </w:rPr>
  </w:style>
  <w:style w:type="paragraph" w:styleId="Notedefin">
    <w:name w:val="endnote text"/>
    <w:basedOn w:val="Normal"/>
    <w:link w:val="NotedefinCar"/>
    <w:uiPriority w:val="99"/>
    <w:semiHidden/>
    <w:unhideWhenUsed/>
    <w:rsid w:val="001F1CA0"/>
    <w:rPr>
      <w:sz w:val="20"/>
      <w:szCs w:val="20"/>
    </w:rPr>
  </w:style>
  <w:style w:type="character" w:customStyle="1" w:styleId="NotedefinCar">
    <w:name w:val="Note de fin Car"/>
    <w:basedOn w:val="Policepardfaut"/>
    <w:link w:val="Notedefin"/>
    <w:uiPriority w:val="99"/>
    <w:semiHidden/>
    <w:rsid w:val="001F1CA0"/>
    <w:rPr>
      <w:sz w:val="20"/>
      <w:szCs w:val="20"/>
    </w:rPr>
  </w:style>
  <w:style w:type="character" w:styleId="Appeldenotedefin">
    <w:name w:val="endnote reference"/>
    <w:basedOn w:val="Policepardfaut"/>
    <w:uiPriority w:val="99"/>
    <w:semiHidden/>
    <w:unhideWhenUsed/>
    <w:rsid w:val="001F1CA0"/>
    <w:rPr>
      <w:vertAlign w:val="superscript"/>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3E2B37"/>
    <w:rPr>
      <w:sz w:val="20"/>
      <w:szCs w:val="20"/>
    </w:rPr>
  </w:style>
  <w:style w:type="paragraph" w:styleId="Objetducommentaire">
    <w:name w:val="annotation subject"/>
    <w:basedOn w:val="Commentaire"/>
    <w:next w:val="Commentaire"/>
    <w:link w:val="ObjetducommentaireCar"/>
    <w:uiPriority w:val="99"/>
    <w:semiHidden/>
    <w:unhideWhenUsed/>
    <w:rsid w:val="003E2B37"/>
    <w:rPr>
      <w:b/>
      <w:bCs/>
    </w:rPr>
  </w:style>
  <w:style w:type="character" w:customStyle="1" w:styleId="ObjetducommentaireCar">
    <w:name w:val="Objet du commentaire Car"/>
    <w:basedOn w:val="CommentaireCar"/>
    <w:link w:val="Objetducommentaire"/>
    <w:uiPriority w:val="99"/>
    <w:semiHidden/>
    <w:rsid w:val="003E2B37"/>
    <w:rPr>
      <w:b/>
      <w:bCs/>
      <w:sz w:val="20"/>
      <w:szCs w:val="20"/>
    </w:rPr>
  </w:style>
  <w:style w:type="paragraph" w:styleId="Rvision">
    <w:name w:val="Revision"/>
    <w:hidden/>
    <w:uiPriority w:val="99"/>
    <w:semiHidden/>
    <w:rsid w:val="003E2B37"/>
    <w:rPr>
      <w:sz w:val="24"/>
      <w:szCs w:val="24"/>
    </w:rPr>
  </w:style>
  <w:style w:type="paragraph" w:customStyle="1" w:styleId="Textedesaisie">
    <w:name w:val="Texte de saisie"/>
    <w:basedOn w:val="Normal"/>
    <w:rsid w:val="00C149A2"/>
    <w:pPr>
      <w:widowControl w:val="0"/>
      <w:spacing w:line="260" w:lineRule="atLeast"/>
      <w:jc w:val="both"/>
    </w:pPr>
    <w:rPr>
      <w:rFonts w:ascii="Arial" w:eastAsia="Times New Roman" w:hAnsi="Arial"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308363785">
      <w:bodyDiv w:val="1"/>
      <w:marLeft w:val="0"/>
      <w:marRight w:val="0"/>
      <w:marTop w:val="0"/>
      <w:marBottom w:val="0"/>
      <w:divBdr>
        <w:top w:val="none" w:sz="0" w:space="0" w:color="auto"/>
        <w:left w:val="none" w:sz="0" w:space="0" w:color="auto"/>
        <w:bottom w:val="none" w:sz="0" w:space="0" w:color="auto"/>
        <w:right w:val="none" w:sz="0" w:space="0" w:color="auto"/>
      </w:divBdr>
    </w:div>
    <w:div w:id="336426668">
      <w:bodyDiv w:val="1"/>
      <w:marLeft w:val="0"/>
      <w:marRight w:val="0"/>
      <w:marTop w:val="0"/>
      <w:marBottom w:val="0"/>
      <w:divBdr>
        <w:top w:val="none" w:sz="0" w:space="0" w:color="auto"/>
        <w:left w:val="none" w:sz="0" w:space="0" w:color="auto"/>
        <w:bottom w:val="none" w:sz="0" w:space="0" w:color="auto"/>
        <w:right w:val="none" w:sz="0" w:space="0" w:color="auto"/>
      </w:divBdr>
    </w:div>
    <w:div w:id="517082971">
      <w:bodyDiv w:val="1"/>
      <w:marLeft w:val="0"/>
      <w:marRight w:val="0"/>
      <w:marTop w:val="0"/>
      <w:marBottom w:val="0"/>
      <w:divBdr>
        <w:top w:val="none" w:sz="0" w:space="0" w:color="auto"/>
        <w:left w:val="none" w:sz="0" w:space="0" w:color="auto"/>
        <w:bottom w:val="none" w:sz="0" w:space="0" w:color="auto"/>
        <w:right w:val="none" w:sz="0" w:space="0" w:color="auto"/>
      </w:divBdr>
    </w:div>
    <w:div w:id="593250956">
      <w:bodyDiv w:val="1"/>
      <w:marLeft w:val="0"/>
      <w:marRight w:val="0"/>
      <w:marTop w:val="0"/>
      <w:marBottom w:val="0"/>
      <w:divBdr>
        <w:top w:val="none" w:sz="0" w:space="0" w:color="auto"/>
        <w:left w:val="none" w:sz="0" w:space="0" w:color="auto"/>
        <w:bottom w:val="none" w:sz="0" w:space="0" w:color="auto"/>
        <w:right w:val="none" w:sz="0" w:space="0" w:color="auto"/>
      </w:divBdr>
    </w:div>
    <w:div w:id="700284785">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801003988">
      <w:bodyDiv w:val="1"/>
      <w:marLeft w:val="0"/>
      <w:marRight w:val="0"/>
      <w:marTop w:val="0"/>
      <w:marBottom w:val="0"/>
      <w:divBdr>
        <w:top w:val="none" w:sz="0" w:space="0" w:color="auto"/>
        <w:left w:val="none" w:sz="0" w:space="0" w:color="auto"/>
        <w:bottom w:val="none" w:sz="0" w:space="0" w:color="auto"/>
        <w:right w:val="none" w:sz="0" w:space="0" w:color="auto"/>
      </w:divBdr>
    </w:div>
    <w:div w:id="841816253">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170372141">
      <w:bodyDiv w:val="1"/>
      <w:marLeft w:val="0"/>
      <w:marRight w:val="0"/>
      <w:marTop w:val="0"/>
      <w:marBottom w:val="0"/>
      <w:divBdr>
        <w:top w:val="none" w:sz="0" w:space="0" w:color="auto"/>
        <w:left w:val="none" w:sz="0" w:space="0" w:color="auto"/>
        <w:bottom w:val="none" w:sz="0" w:space="0" w:color="auto"/>
        <w:right w:val="none" w:sz="0" w:space="0" w:color="auto"/>
      </w:divBdr>
    </w:div>
    <w:div w:id="1484422372">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524442649">
      <w:bodyDiv w:val="1"/>
      <w:marLeft w:val="0"/>
      <w:marRight w:val="0"/>
      <w:marTop w:val="0"/>
      <w:marBottom w:val="0"/>
      <w:divBdr>
        <w:top w:val="none" w:sz="0" w:space="0" w:color="auto"/>
        <w:left w:val="none" w:sz="0" w:space="0" w:color="auto"/>
        <w:bottom w:val="none" w:sz="0" w:space="0" w:color="auto"/>
        <w:right w:val="none" w:sz="0" w:space="0" w:color="auto"/>
      </w:divBdr>
    </w:div>
    <w:div w:id="1565216605">
      <w:bodyDiv w:val="1"/>
      <w:marLeft w:val="0"/>
      <w:marRight w:val="0"/>
      <w:marTop w:val="0"/>
      <w:marBottom w:val="0"/>
      <w:divBdr>
        <w:top w:val="none" w:sz="0" w:space="0" w:color="auto"/>
        <w:left w:val="none" w:sz="0" w:space="0" w:color="auto"/>
        <w:bottom w:val="none" w:sz="0" w:space="0" w:color="auto"/>
        <w:right w:val="none" w:sz="0" w:space="0" w:color="auto"/>
      </w:divBdr>
    </w:div>
    <w:div w:id="1801612267">
      <w:bodyDiv w:val="1"/>
      <w:marLeft w:val="0"/>
      <w:marRight w:val="0"/>
      <w:marTop w:val="0"/>
      <w:marBottom w:val="0"/>
      <w:divBdr>
        <w:top w:val="none" w:sz="0" w:space="0" w:color="auto"/>
        <w:left w:val="none" w:sz="0" w:space="0" w:color="auto"/>
        <w:bottom w:val="none" w:sz="0" w:space="0" w:color="auto"/>
        <w:right w:val="none" w:sz="0" w:space="0" w:color="auto"/>
      </w:divBdr>
    </w:div>
    <w:div w:id="1832284986">
      <w:bodyDiv w:val="1"/>
      <w:marLeft w:val="0"/>
      <w:marRight w:val="0"/>
      <w:marTop w:val="0"/>
      <w:marBottom w:val="0"/>
      <w:divBdr>
        <w:top w:val="none" w:sz="0" w:space="0" w:color="auto"/>
        <w:left w:val="none" w:sz="0" w:space="0" w:color="auto"/>
        <w:bottom w:val="none" w:sz="0" w:space="0" w:color="auto"/>
        <w:right w:val="none" w:sz="0" w:space="0" w:color="auto"/>
      </w:divBdr>
    </w:div>
    <w:div w:id="19368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fac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015B-3DF5-4245-B651-32BC34BE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927</Words>
  <Characters>5111</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Paris, 16 septembre 2013</vt:lpstr>
      <vt:lpstr>Paris, 16 septembre 2013</vt:lpstr>
    </vt:vector>
  </TitlesOfParts>
  <Company>COFACE</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KRELLENSTEIN Maria</cp:lastModifiedBy>
  <cp:revision>6</cp:revision>
  <cp:lastPrinted>2016-01-20T16:48:00Z</cp:lastPrinted>
  <dcterms:created xsi:type="dcterms:W3CDTF">2016-01-22T12:28:00Z</dcterms:created>
  <dcterms:modified xsi:type="dcterms:W3CDTF">2016-01-22T17:07:00Z</dcterms:modified>
</cp:coreProperties>
</file>